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259" w:rsidRDefault="00982259" w:rsidP="00044418">
      <w:pPr>
        <w:ind w:left="6179"/>
        <w:jc w:val="left"/>
        <w:rPr>
          <w:sz w:val="24"/>
          <w:rtl/>
        </w:rPr>
      </w:pPr>
      <w:bookmarkStart w:id="0" w:name="Date"/>
      <w:bookmarkEnd w:id="0"/>
      <w:r>
        <w:rPr>
          <w:rFonts w:hint="eastAsia"/>
          <w:sz w:val="24"/>
          <w:rtl/>
        </w:rPr>
        <w:t>י</w:t>
      </w:r>
      <w:r>
        <w:rPr>
          <w:sz w:val="24"/>
          <w:rtl/>
        </w:rPr>
        <w:t>"</w:t>
      </w:r>
      <w:r>
        <w:rPr>
          <w:rFonts w:hint="eastAsia"/>
          <w:sz w:val="24"/>
          <w:rtl/>
        </w:rPr>
        <w:t>ז</w:t>
      </w:r>
      <w:r>
        <w:rPr>
          <w:sz w:val="24"/>
          <w:rtl/>
        </w:rPr>
        <w:t xml:space="preserve"> </w:t>
      </w:r>
      <w:r>
        <w:rPr>
          <w:rFonts w:hint="eastAsia"/>
          <w:sz w:val="24"/>
          <w:rtl/>
        </w:rPr>
        <w:t>באייר</w:t>
      </w:r>
      <w:r>
        <w:rPr>
          <w:sz w:val="24"/>
          <w:rtl/>
        </w:rPr>
        <w:t xml:space="preserve"> </w:t>
      </w:r>
      <w:proofErr w:type="spellStart"/>
      <w:r>
        <w:rPr>
          <w:rFonts w:hint="eastAsia"/>
          <w:sz w:val="24"/>
          <w:rtl/>
        </w:rPr>
        <w:t>התשע</w:t>
      </w:r>
      <w:r>
        <w:rPr>
          <w:sz w:val="24"/>
          <w:rtl/>
        </w:rPr>
        <w:t>"</w:t>
      </w:r>
      <w:r>
        <w:rPr>
          <w:rFonts w:hint="eastAsia"/>
          <w:sz w:val="24"/>
          <w:rtl/>
        </w:rPr>
        <w:t>ב</w:t>
      </w:r>
      <w:proofErr w:type="spellEnd"/>
      <w:r>
        <w:rPr>
          <w:sz w:val="24"/>
          <w:rtl/>
        </w:rPr>
        <w:br/>
        <w:t xml:space="preserve">9 </w:t>
      </w:r>
      <w:r>
        <w:rPr>
          <w:rFonts w:hint="eastAsia"/>
          <w:sz w:val="24"/>
          <w:rtl/>
        </w:rPr>
        <w:t>במאי</w:t>
      </w:r>
      <w:r>
        <w:rPr>
          <w:sz w:val="24"/>
          <w:rtl/>
        </w:rPr>
        <w:t xml:space="preserve"> 2012</w:t>
      </w:r>
    </w:p>
    <w:p w:rsidR="00982259" w:rsidRDefault="00982259" w:rsidP="00044418">
      <w:pPr>
        <w:ind w:left="6179"/>
        <w:jc w:val="left"/>
        <w:rPr>
          <w:sz w:val="24"/>
          <w:rtl/>
        </w:rPr>
      </w:pPr>
      <w:bookmarkStart w:id="1" w:name="DocNum"/>
      <w:bookmarkEnd w:id="1"/>
      <w:r>
        <w:rPr>
          <w:rFonts w:hint="eastAsia"/>
          <w:sz w:val="24"/>
          <w:rtl/>
        </w:rPr>
        <w:t>שה</w:t>
      </w:r>
      <w:r>
        <w:rPr>
          <w:sz w:val="24"/>
          <w:rtl/>
        </w:rPr>
        <w:t>. 2012-20067</w:t>
      </w:r>
    </w:p>
    <w:p w:rsidR="00044418" w:rsidRDefault="00044418" w:rsidP="00044418">
      <w:pPr>
        <w:spacing w:line="360" w:lineRule="auto"/>
        <w:jc w:val="left"/>
        <w:rPr>
          <w:sz w:val="24"/>
          <w:rtl/>
        </w:rPr>
      </w:pPr>
    </w:p>
    <w:p w:rsidR="00044418" w:rsidRPr="00DB00DF" w:rsidRDefault="00044418" w:rsidP="00044418">
      <w:pPr>
        <w:spacing w:line="360" w:lineRule="auto"/>
        <w:jc w:val="left"/>
        <w:rPr>
          <w:sz w:val="24"/>
          <w:rtl/>
        </w:rPr>
      </w:pPr>
      <w:r w:rsidRPr="00DB00DF">
        <w:rPr>
          <w:sz w:val="24"/>
          <w:rtl/>
        </w:rPr>
        <w:t>אל:</w:t>
      </w:r>
      <w:r w:rsidRPr="00DB00DF">
        <w:rPr>
          <w:rFonts w:hint="cs"/>
          <w:sz w:val="24"/>
          <w:rtl/>
        </w:rPr>
        <w:t xml:space="preserve"> </w:t>
      </w:r>
    </w:p>
    <w:p w:rsidR="00982259" w:rsidRDefault="00982259" w:rsidP="00044418">
      <w:pPr>
        <w:tabs>
          <w:tab w:val="left" w:pos="3486"/>
          <w:tab w:val="left" w:pos="4353"/>
        </w:tabs>
        <w:spacing w:line="360" w:lineRule="auto"/>
        <w:jc w:val="left"/>
        <w:rPr>
          <w:sz w:val="24"/>
          <w:rtl/>
        </w:rPr>
      </w:pPr>
      <w:bookmarkStart w:id="2" w:name="MainToEl"/>
      <w:bookmarkEnd w:id="2"/>
      <w:r>
        <w:rPr>
          <w:rFonts w:hint="eastAsia"/>
          <w:sz w:val="24"/>
          <w:rtl/>
        </w:rPr>
        <w:t>ועדת</w:t>
      </w:r>
      <w:r>
        <w:rPr>
          <w:sz w:val="24"/>
          <w:rtl/>
        </w:rPr>
        <w:t xml:space="preserve"> </w:t>
      </w:r>
      <w:r>
        <w:rPr>
          <w:rFonts w:hint="eastAsia"/>
          <w:sz w:val="24"/>
          <w:rtl/>
        </w:rPr>
        <w:t>מכרזים</w:t>
      </w:r>
      <w:r>
        <w:rPr>
          <w:sz w:val="24"/>
          <w:rtl/>
        </w:rPr>
        <w:t xml:space="preserve"> </w:t>
      </w:r>
      <w:r>
        <w:rPr>
          <w:rFonts w:hint="eastAsia"/>
          <w:sz w:val="24"/>
          <w:rtl/>
        </w:rPr>
        <w:t>שוק</w:t>
      </w:r>
      <w:r>
        <w:rPr>
          <w:sz w:val="24"/>
          <w:rtl/>
        </w:rPr>
        <w:t xml:space="preserve"> </w:t>
      </w:r>
      <w:r>
        <w:rPr>
          <w:rFonts w:hint="eastAsia"/>
          <w:sz w:val="24"/>
          <w:rtl/>
        </w:rPr>
        <w:t>ההון</w:t>
      </w:r>
    </w:p>
    <w:p w:rsidR="00044418" w:rsidRPr="00DB00DF" w:rsidRDefault="00044418" w:rsidP="00044418">
      <w:pPr>
        <w:tabs>
          <w:tab w:val="left" w:pos="3486"/>
          <w:tab w:val="left" w:pos="5896"/>
        </w:tabs>
        <w:spacing w:line="360" w:lineRule="auto"/>
        <w:jc w:val="left"/>
        <w:rPr>
          <w:rFonts w:ascii="Times New Roman" w:hAnsi="Times New Roman"/>
          <w:sz w:val="24"/>
          <w:rtl/>
        </w:rPr>
      </w:pPr>
    </w:p>
    <w:p w:rsidR="00044418" w:rsidRPr="00DB00DF" w:rsidRDefault="00044418" w:rsidP="00982259">
      <w:pPr>
        <w:spacing w:line="360" w:lineRule="auto"/>
        <w:ind w:left="651" w:hanging="651"/>
        <w:jc w:val="left"/>
        <w:rPr>
          <w:rFonts w:ascii="Times New Roman" w:hAnsi="Times New Roman"/>
          <w:b/>
          <w:bCs/>
          <w:sz w:val="24"/>
          <w:u w:val="single"/>
          <w:rtl/>
        </w:rPr>
      </w:pPr>
      <w:r w:rsidRPr="00DB00DF">
        <w:rPr>
          <w:rFonts w:ascii="Times New Roman" w:hAnsi="Times New Roman"/>
          <w:sz w:val="24"/>
          <w:rtl/>
        </w:rPr>
        <w:t>הנדון:</w:t>
      </w:r>
      <w:r w:rsidRPr="00DB00DF">
        <w:rPr>
          <w:rFonts w:ascii="Times New Roman" w:hAnsi="Times New Roman"/>
          <w:b/>
          <w:bCs/>
          <w:sz w:val="24"/>
          <w:u w:val="single"/>
          <w:rtl/>
        </w:rPr>
        <w:tab/>
      </w:r>
      <w:bookmarkStart w:id="3" w:name="About"/>
      <w:bookmarkEnd w:id="3"/>
      <w:r w:rsidR="00982259">
        <w:rPr>
          <w:rFonts w:ascii="Times New Roman" w:hAnsi="Times New Roman" w:hint="eastAsia"/>
          <w:b/>
          <w:bCs/>
          <w:sz w:val="24"/>
          <w:u w:val="single"/>
          <w:rtl/>
        </w:rPr>
        <w:t>כוונת</w:t>
      </w:r>
      <w:r w:rsidR="00982259">
        <w:rPr>
          <w:rFonts w:ascii="Times New Roman" w:hAnsi="Times New Roman"/>
          <w:b/>
          <w:bCs/>
          <w:sz w:val="24"/>
          <w:u w:val="single"/>
          <w:rtl/>
        </w:rPr>
        <w:t xml:space="preserve"> התקשרות עם "</w:t>
      </w:r>
      <w:r w:rsidR="00982259">
        <w:rPr>
          <w:rFonts w:ascii="Times New Roman" w:hAnsi="Times New Roman"/>
          <w:b/>
          <w:bCs/>
          <w:sz w:val="24"/>
          <w:u w:val="single"/>
        </w:rPr>
        <w:t>Insurance ERM</w:t>
      </w:r>
      <w:r w:rsidR="00982259">
        <w:rPr>
          <w:rFonts w:ascii="Times New Roman" w:hAnsi="Times New Roman"/>
          <w:b/>
          <w:bCs/>
          <w:sz w:val="24"/>
          <w:u w:val="single"/>
          <w:rtl/>
        </w:rPr>
        <w:t>"  - כספק יחיד</w:t>
      </w:r>
    </w:p>
    <w:p w:rsidR="009F2C30" w:rsidRPr="00DB00DF" w:rsidRDefault="00982259" w:rsidP="009F2C30">
      <w:pPr>
        <w:spacing w:before="120" w:after="120" w:line="360" w:lineRule="auto"/>
        <w:ind w:left="515"/>
        <w:rPr>
          <w:rFonts w:ascii="Times New Roman" w:hAnsi="Times New Roman"/>
          <w:sz w:val="24"/>
        </w:rPr>
      </w:pPr>
      <w:bookmarkStart w:id="4" w:name="reference"/>
      <w:bookmarkStart w:id="5" w:name="start"/>
      <w:bookmarkEnd w:id="4"/>
      <w:bookmarkEnd w:id="5"/>
      <w:r>
        <w:rPr>
          <w:rFonts w:ascii="Times New Roman" w:hAnsi="Times New Roman"/>
          <w:sz w:val="24"/>
          <w:rtl/>
        </w:rPr>
        <w:t xml:space="preserve"> </w:t>
      </w:r>
    </w:p>
    <w:p w:rsidR="009F2C30" w:rsidRPr="00DB00DF" w:rsidRDefault="00E75E56" w:rsidP="009F2C30">
      <w:pPr>
        <w:numPr>
          <w:ilvl w:val="0"/>
          <w:numId w:val="8"/>
        </w:numPr>
        <w:spacing w:before="120" w:after="120" w:line="360" w:lineRule="auto"/>
        <w:ind w:left="515" w:hanging="425"/>
        <w:rPr>
          <w:rFonts w:ascii="Times New Roman" w:hAnsi="Times New Roman"/>
          <w:sz w:val="24"/>
          <w:rtl/>
        </w:rPr>
      </w:pPr>
      <w:r>
        <w:rPr>
          <w:rFonts w:ascii="Times New Roman" w:hAnsi="Times New Roman" w:hint="cs"/>
          <w:sz w:val="24"/>
          <w:rtl/>
        </w:rPr>
        <w:t xml:space="preserve">בהתאם לתקנה </w:t>
      </w:r>
      <w:r w:rsidR="009F2C30" w:rsidRPr="00DB00DF">
        <w:rPr>
          <w:rFonts w:ascii="Times New Roman" w:hAnsi="Times New Roman" w:hint="cs"/>
          <w:sz w:val="24"/>
          <w:rtl/>
        </w:rPr>
        <w:t xml:space="preserve">משרד האוצר בזאת על כוונתו להתקשר עם חברת </w:t>
      </w:r>
      <w:r w:rsidR="009F2C30" w:rsidRPr="00DB00DF">
        <w:rPr>
          <w:rFonts w:ascii="Times New Roman" w:hAnsi="Times New Roman"/>
          <w:sz w:val="24"/>
        </w:rPr>
        <w:t>Insurance ERM</w:t>
      </w:r>
      <w:r w:rsidR="009F2C30" w:rsidRPr="00DB00DF">
        <w:rPr>
          <w:rFonts w:ascii="Times New Roman" w:hAnsi="Times New Roman" w:hint="cs"/>
          <w:sz w:val="24"/>
          <w:rtl/>
        </w:rPr>
        <w:t>, כספק יחיד, בהתאם לתקנה 3(29) לתקנות חובת המכרזים</w:t>
      </w:r>
      <w:r>
        <w:rPr>
          <w:rFonts w:ascii="Times New Roman" w:hAnsi="Times New Roman" w:hint="cs"/>
          <w:sz w:val="24"/>
          <w:rtl/>
        </w:rPr>
        <w:t xml:space="preserve">, </w:t>
      </w:r>
      <w:proofErr w:type="spellStart"/>
      <w:r>
        <w:rPr>
          <w:rFonts w:ascii="Times New Roman" w:hAnsi="Times New Roman" w:hint="cs"/>
          <w:sz w:val="24"/>
          <w:rtl/>
        </w:rPr>
        <w:t>התשנ"ג</w:t>
      </w:r>
      <w:proofErr w:type="spellEnd"/>
      <w:r w:rsidR="009F2C30" w:rsidRPr="00DB00DF">
        <w:rPr>
          <w:rFonts w:ascii="Times New Roman" w:hAnsi="Times New Roman"/>
          <w:sz w:val="24"/>
          <w:rtl/>
        </w:rPr>
        <w:t>–</w:t>
      </w:r>
      <w:r>
        <w:rPr>
          <w:rFonts w:ascii="Times New Roman" w:hAnsi="Times New Roman" w:hint="cs"/>
          <w:sz w:val="24"/>
          <w:rtl/>
        </w:rPr>
        <w:t xml:space="preserve"> 1993</w:t>
      </w:r>
      <w:r w:rsidR="009F2C30" w:rsidRPr="00DB00DF">
        <w:rPr>
          <w:rFonts w:ascii="Times New Roman" w:hAnsi="Times New Roman" w:hint="cs"/>
          <w:sz w:val="24"/>
          <w:rtl/>
        </w:rPr>
        <w:t xml:space="preserve">, למתן עדכונים העוסקים במגוון סוגיות הנוגעות לניהול סיכונים בחברות ביטוח ולשם אספקת מידע עדכני לגבי התפתחויות בתהליך יישום הדירקטיבה האירופאית </w:t>
      </w:r>
      <w:r w:rsidR="009F2C30" w:rsidRPr="00DB00DF">
        <w:rPr>
          <w:rFonts w:ascii="Times New Roman" w:hAnsi="Times New Roman"/>
          <w:sz w:val="24"/>
        </w:rPr>
        <w:t>Solvency II</w:t>
      </w:r>
      <w:r w:rsidR="009F2C30" w:rsidRPr="00DB00DF">
        <w:rPr>
          <w:rFonts w:ascii="Times New Roman" w:hAnsi="Times New Roman" w:hint="cs"/>
          <w:sz w:val="24"/>
          <w:rtl/>
        </w:rPr>
        <w:t xml:space="preserve"> (להלן </w:t>
      </w:r>
      <w:r w:rsidR="009F2C30" w:rsidRPr="00DB00DF">
        <w:rPr>
          <w:rFonts w:ascii="Times New Roman" w:hAnsi="Times New Roman"/>
          <w:sz w:val="24"/>
          <w:rtl/>
        </w:rPr>
        <w:t>–</w:t>
      </w:r>
      <w:r w:rsidR="009F2C30" w:rsidRPr="00DB00DF">
        <w:rPr>
          <w:rFonts w:ascii="Times New Roman" w:hAnsi="Times New Roman" w:hint="cs"/>
          <w:sz w:val="24"/>
          <w:rtl/>
        </w:rPr>
        <w:t xml:space="preserve"> הדירקטיבה).</w:t>
      </w:r>
    </w:p>
    <w:p w:rsidR="00044418" w:rsidRPr="00DB00DF" w:rsidRDefault="00044418" w:rsidP="00044418">
      <w:pPr>
        <w:spacing w:before="120" w:after="120" w:line="360" w:lineRule="auto"/>
        <w:ind w:left="515"/>
        <w:rPr>
          <w:rFonts w:ascii="Times New Roman" w:hAnsi="Times New Roman"/>
          <w:sz w:val="24"/>
          <w:rtl/>
        </w:rPr>
      </w:pPr>
      <w:r w:rsidRPr="00DB00DF">
        <w:rPr>
          <w:rFonts w:ascii="Times New Roman" w:hAnsi="Times New Roman" w:hint="cs"/>
          <w:sz w:val="24"/>
          <w:rtl/>
        </w:rPr>
        <w:t>בשנת 2008 הכריז משרד האוצר על כוונתו ליישם את הדירקטיבה בארץ לפי לוחות הזמנים האירופיים. היות שאופן היישום של עקרונות הדירקטיבה נמצא עדיין</w:t>
      </w:r>
      <w:r w:rsidR="00E75E56">
        <w:rPr>
          <w:rFonts w:ascii="Times New Roman" w:hAnsi="Times New Roman" w:hint="cs"/>
          <w:sz w:val="24"/>
          <w:rtl/>
        </w:rPr>
        <w:t xml:space="preserve"> בשלבי גיבוש, קיימת חשיבות רבה </w:t>
      </w:r>
      <w:r w:rsidRPr="00DB00DF">
        <w:rPr>
          <w:rFonts w:ascii="Times New Roman" w:hAnsi="Times New Roman" w:hint="cs"/>
          <w:sz w:val="24"/>
          <w:rtl/>
        </w:rPr>
        <w:t xml:space="preserve">לעדכונים פורמליים ובלתי פורמליים לגבי התפתחויות חדשות ומגמות. החשיבות המיוחדת של עדכונים בלתי-פורמליים נובעת מכך שחלק ניכר מתהליך הגיבוש אינו נעשה בפומבי. כיום, המקור המרכזי למידע בלתי פורמלי הוא האתר </w:t>
      </w:r>
      <w:r w:rsidRPr="00DB00DF">
        <w:rPr>
          <w:rStyle w:val="af1"/>
          <w:rFonts w:ascii="Times New Roman" w:hAnsi="Times New Roman"/>
          <w:sz w:val="24"/>
          <w:rtl/>
        </w:rPr>
        <w:footnoteReference w:id="1"/>
      </w:r>
      <w:r w:rsidRPr="00DB00DF">
        <w:rPr>
          <w:rFonts w:ascii="Times New Roman" w:hAnsi="Times New Roman"/>
          <w:sz w:val="24"/>
        </w:rPr>
        <w:t>Insurance ERM</w:t>
      </w:r>
      <w:r w:rsidRPr="00DB00DF">
        <w:rPr>
          <w:rFonts w:ascii="Times New Roman" w:hAnsi="Times New Roman" w:hint="cs"/>
          <w:sz w:val="24"/>
          <w:rtl/>
        </w:rPr>
        <w:t>, אשר עוסק במגוון סוגיות הנוגעות לניהול סיכונים בחברות ביטוח, ומקדיש מאמץ ניכר באספקת מידע עדכני לגבי התפתחות תהליך יישום הדירקטיבה.</w:t>
      </w:r>
    </w:p>
    <w:p w:rsidR="00044418" w:rsidRPr="00DB00DF" w:rsidRDefault="00044418" w:rsidP="00044418">
      <w:pPr>
        <w:spacing w:before="120" w:after="120" w:line="360" w:lineRule="auto"/>
        <w:ind w:left="515"/>
        <w:rPr>
          <w:rFonts w:ascii="Times New Roman" w:hAnsi="Times New Roman"/>
          <w:sz w:val="24"/>
          <w:rtl/>
        </w:rPr>
      </w:pPr>
      <w:r w:rsidRPr="00DB00DF">
        <w:rPr>
          <w:rFonts w:ascii="Times New Roman" w:hAnsi="Times New Roman" w:hint="cs"/>
          <w:sz w:val="24"/>
          <w:rtl/>
        </w:rPr>
        <w:t>במסגרת רכישת המנוי לאתר האינטרנט האמור (</w:t>
      </w:r>
      <w:hyperlink r:id="rId9" w:history="1">
        <w:r w:rsidRPr="00DB00DF">
          <w:rPr>
            <w:rStyle w:val="Hyperlink"/>
            <w:rFonts w:ascii="Times New Roman" w:hAnsi="Times New Roman" w:cs="Arial"/>
            <w:sz w:val="24"/>
          </w:rPr>
          <w:t>http://www.insuranceerm.com/</w:t>
        </w:r>
      </w:hyperlink>
      <w:r w:rsidRPr="00DB00DF">
        <w:rPr>
          <w:rStyle w:val="Hyperlink"/>
          <w:rFonts w:ascii="Times New Roman" w:hAnsi="Times New Roman" w:cs="Arial" w:hint="cs"/>
          <w:sz w:val="24"/>
          <w:rtl/>
        </w:rPr>
        <w:t>)</w:t>
      </w:r>
      <w:r w:rsidRPr="00DB00DF">
        <w:rPr>
          <w:rFonts w:ascii="Times New Roman" w:hAnsi="Times New Roman" w:hint="cs"/>
          <w:sz w:val="24"/>
          <w:rtl/>
        </w:rPr>
        <w:t>, ישלחו מדי יום עדכונים שוטפים למייל האישי של המשתמש הרשום ובכך יהיה ביכולתו להישאר מעודכן בכל הנוגע להתפתחויות השוטפות הקשורות לתחום פעולתו של האגף.</w:t>
      </w:r>
    </w:p>
    <w:p w:rsidR="00044418" w:rsidRPr="00DB00DF" w:rsidRDefault="00044418" w:rsidP="00044418">
      <w:pPr>
        <w:spacing w:before="120" w:after="120" w:line="360" w:lineRule="auto"/>
        <w:ind w:left="515"/>
        <w:rPr>
          <w:rFonts w:ascii="Times New Roman" w:hAnsi="Times New Roman"/>
          <w:sz w:val="24"/>
          <w:rtl/>
        </w:rPr>
      </w:pPr>
      <w:r w:rsidRPr="00DB00DF">
        <w:rPr>
          <w:rFonts w:ascii="Times New Roman" w:hAnsi="Times New Roman" w:hint="cs"/>
          <w:b/>
          <w:bCs/>
          <w:sz w:val="24"/>
          <w:rtl/>
        </w:rPr>
        <w:t>תקופת ההתקשרות</w:t>
      </w:r>
      <w:r w:rsidRPr="00DB00DF">
        <w:rPr>
          <w:rFonts w:ascii="Times New Roman" w:hAnsi="Times New Roman" w:hint="cs"/>
          <w:sz w:val="24"/>
          <w:rtl/>
        </w:rPr>
        <w:t xml:space="preserve"> : 12 חודשים</w:t>
      </w:r>
    </w:p>
    <w:p w:rsidR="00044418" w:rsidRPr="00DB00DF" w:rsidRDefault="00044418" w:rsidP="00044418">
      <w:pPr>
        <w:spacing w:before="120" w:after="120" w:line="360" w:lineRule="auto"/>
        <w:ind w:left="515"/>
        <w:rPr>
          <w:rFonts w:ascii="Times New Roman" w:hAnsi="Times New Roman"/>
          <w:sz w:val="24"/>
          <w:rtl/>
        </w:rPr>
      </w:pPr>
      <w:r w:rsidRPr="00DB00DF">
        <w:rPr>
          <w:rFonts w:ascii="Times New Roman" w:hAnsi="Times New Roman" w:hint="cs"/>
          <w:b/>
          <w:bCs/>
          <w:sz w:val="24"/>
          <w:rtl/>
        </w:rPr>
        <w:t>היקף כספי</w:t>
      </w:r>
      <w:r w:rsidRPr="00DB00DF">
        <w:rPr>
          <w:rFonts w:ascii="Times New Roman" w:hAnsi="Times New Roman" w:hint="cs"/>
          <w:sz w:val="24"/>
          <w:rtl/>
        </w:rPr>
        <w:t xml:space="preserve"> : כ-5,000 ש"ח</w:t>
      </w:r>
    </w:p>
    <w:p w:rsidR="00044418" w:rsidRPr="00DB00DF" w:rsidRDefault="00044418" w:rsidP="00044418">
      <w:pPr>
        <w:numPr>
          <w:ilvl w:val="0"/>
          <w:numId w:val="8"/>
        </w:numPr>
        <w:spacing w:before="120" w:after="120" w:line="360" w:lineRule="auto"/>
        <w:ind w:left="515" w:hanging="425"/>
        <w:rPr>
          <w:rFonts w:ascii="Times New Roman" w:hAnsi="Times New Roman"/>
          <w:sz w:val="24"/>
        </w:rPr>
      </w:pPr>
      <w:r w:rsidRPr="00DB00DF">
        <w:rPr>
          <w:rFonts w:ascii="Times New Roman" w:hAnsi="Times New Roman" w:hint="cs"/>
          <w:sz w:val="24"/>
          <w:rtl/>
        </w:rPr>
        <w:t>בהתאם למידע המצוי במשרד האוצר, חברת "</w:t>
      </w:r>
      <w:r w:rsidRPr="00DB00DF">
        <w:rPr>
          <w:rFonts w:ascii="Times New Roman" w:hAnsi="Times New Roman"/>
          <w:sz w:val="24"/>
        </w:rPr>
        <w:t>Insurance ERM</w:t>
      </w:r>
      <w:r w:rsidRPr="00DB00DF">
        <w:rPr>
          <w:rFonts w:ascii="Times New Roman" w:hAnsi="Times New Roman" w:hint="cs"/>
          <w:sz w:val="24"/>
          <w:rtl/>
        </w:rPr>
        <w:t>" הינה הספק היחיד המתאים והמסוגל לספק את  השירות האמור בסעיף 1  לעיל.</w:t>
      </w:r>
    </w:p>
    <w:p w:rsidR="00044418" w:rsidRPr="00ED1502" w:rsidRDefault="00044418" w:rsidP="00471CD1">
      <w:pPr>
        <w:numPr>
          <w:ilvl w:val="0"/>
          <w:numId w:val="8"/>
        </w:numPr>
        <w:spacing w:before="120" w:after="120" w:line="360" w:lineRule="auto"/>
        <w:ind w:left="515" w:hanging="425"/>
        <w:rPr>
          <w:rFonts w:ascii="Times New Roman" w:hAnsi="Times New Roman"/>
          <w:sz w:val="24"/>
          <w:rtl/>
        </w:rPr>
      </w:pPr>
      <w:r w:rsidRPr="00DB00DF">
        <w:rPr>
          <w:rFonts w:ascii="Times New Roman" w:hAnsi="Times New Roman" w:hint="cs"/>
          <w:sz w:val="24"/>
          <w:rtl/>
        </w:rPr>
        <w:t xml:space="preserve">ככל שיש ספק ישראלי אחר המסוגל לבצע את השירות, הוא מוזמן לפנות למר שי בירן, מנהל מחלקת </w:t>
      </w:r>
      <w:r w:rsidRPr="00DB00DF">
        <w:rPr>
          <w:rFonts w:ascii="Times New Roman" w:hAnsi="Times New Roman"/>
          <w:sz w:val="24"/>
        </w:rPr>
        <w:t>Solvency II</w:t>
      </w:r>
      <w:r w:rsidRPr="00DB00DF">
        <w:rPr>
          <w:rFonts w:ascii="Times New Roman" w:hAnsi="Times New Roman" w:hint="cs"/>
          <w:sz w:val="24"/>
          <w:rtl/>
        </w:rPr>
        <w:t xml:space="preserve">, במשרד האוצר, לפקס מס' 02-5695342 או לכתובת דוא"ל  </w:t>
      </w:r>
      <w:hyperlink r:id="rId10" w:history="1">
        <w:proofErr w:type="spellStart"/>
        <w:r w:rsidRPr="00DB00DF">
          <w:rPr>
            <w:rStyle w:val="Hyperlink"/>
            <w:rFonts w:ascii="Times New Roman" w:hAnsi="Times New Roman"/>
            <w:sz w:val="24"/>
          </w:rPr>
          <w:t>ShayB</w:t>
        </w:r>
        <w:proofErr w:type="spellEnd"/>
        <w:r w:rsidRPr="00DB00DF">
          <w:rPr>
            <w:rStyle w:val="Hyperlink"/>
            <w:rFonts w:ascii="Times New Roman" w:hAnsi="Times New Roman"/>
            <w:sz w:val="24"/>
          </w:rPr>
          <w:t>@ mof.gov.il</w:t>
        </w:r>
      </w:hyperlink>
      <w:r w:rsidRPr="00ED1502">
        <w:rPr>
          <w:rFonts w:ascii="Times New Roman" w:hAnsi="Times New Roman" w:hint="cs"/>
          <w:sz w:val="24"/>
          <w:rtl/>
        </w:rPr>
        <w:t xml:space="preserve"> לא יאוחר מתאריך </w:t>
      </w:r>
      <w:r w:rsidR="00471CD1">
        <w:rPr>
          <w:rFonts w:ascii="Times New Roman" w:hAnsi="Times New Roman" w:hint="cs"/>
          <w:sz w:val="24"/>
          <w:rtl/>
        </w:rPr>
        <w:t>4.6</w:t>
      </w:r>
      <w:bookmarkStart w:id="6" w:name="_GoBack"/>
      <w:bookmarkEnd w:id="6"/>
      <w:r w:rsidRPr="00ED1502">
        <w:rPr>
          <w:rFonts w:ascii="Times New Roman" w:hAnsi="Times New Roman" w:hint="cs"/>
          <w:sz w:val="24"/>
          <w:rtl/>
        </w:rPr>
        <w:t>.2012 בשעה 13:00.</w:t>
      </w:r>
    </w:p>
    <w:p w:rsidR="00044418" w:rsidRPr="00ED1502" w:rsidRDefault="00044418" w:rsidP="00044418">
      <w:pPr>
        <w:spacing w:line="300" w:lineRule="auto"/>
        <w:rPr>
          <w:rFonts w:ascii="Times New Roman" w:hAnsi="Times New Roman"/>
          <w:sz w:val="16"/>
          <w:szCs w:val="16"/>
          <w:rtl/>
        </w:rPr>
      </w:pPr>
    </w:p>
    <w:p w:rsidR="00044418" w:rsidRPr="00ED1502" w:rsidRDefault="00044418" w:rsidP="00044418">
      <w:pPr>
        <w:tabs>
          <w:tab w:val="center" w:pos="3093"/>
          <w:tab w:val="center" w:pos="5973"/>
        </w:tabs>
        <w:spacing w:line="360" w:lineRule="auto"/>
        <w:jc w:val="left"/>
        <w:rPr>
          <w:sz w:val="24"/>
          <w:rtl/>
        </w:rPr>
      </w:pPr>
      <w:r w:rsidRPr="00ED1502">
        <w:rPr>
          <w:rFonts w:ascii="Times New Roman" w:hAnsi="Times New Roman"/>
          <w:sz w:val="24"/>
          <w:rtl/>
        </w:rPr>
        <w:tab/>
      </w:r>
      <w:r w:rsidRPr="00ED1502">
        <w:rPr>
          <w:sz w:val="24"/>
          <w:rtl/>
        </w:rPr>
        <w:tab/>
        <w:t>ב</w:t>
      </w:r>
      <w:r w:rsidRPr="00ED1502">
        <w:rPr>
          <w:sz w:val="24"/>
        </w:rPr>
        <w:t xml:space="preserve"> </w:t>
      </w:r>
      <w:proofErr w:type="spellStart"/>
      <w:r w:rsidRPr="00ED1502">
        <w:rPr>
          <w:sz w:val="24"/>
          <w:rtl/>
        </w:rPr>
        <w:t>ב</w:t>
      </w:r>
      <w:proofErr w:type="spellEnd"/>
      <w:r w:rsidRPr="00ED1502">
        <w:rPr>
          <w:sz w:val="24"/>
        </w:rPr>
        <w:t xml:space="preserve"> </w:t>
      </w:r>
      <w:r w:rsidRPr="00ED1502">
        <w:rPr>
          <w:sz w:val="24"/>
          <w:rtl/>
        </w:rPr>
        <w:t>ר</w:t>
      </w:r>
      <w:r w:rsidRPr="00ED1502">
        <w:rPr>
          <w:sz w:val="24"/>
        </w:rPr>
        <w:t xml:space="preserve"> </w:t>
      </w:r>
      <w:r w:rsidRPr="00ED1502">
        <w:rPr>
          <w:sz w:val="24"/>
          <w:rtl/>
        </w:rPr>
        <w:t>כ</w:t>
      </w:r>
      <w:r w:rsidRPr="00ED1502">
        <w:rPr>
          <w:sz w:val="24"/>
        </w:rPr>
        <w:t xml:space="preserve"> </w:t>
      </w:r>
      <w:r w:rsidRPr="00ED1502">
        <w:rPr>
          <w:sz w:val="24"/>
          <w:rtl/>
        </w:rPr>
        <w:t>ה,</w:t>
      </w:r>
    </w:p>
    <w:p w:rsidR="00044418" w:rsidRPr="00ED1502" w:rsidRDefault="00044418" w:rsidP="00044418">
      <w:pPr>
        <w:tabs>
          <w:tab w:val="center" w:pos="3093"/>
          <w:tab w:val="center" w:pos="5973"/>
        </w:tabs>
        <w:spacing w:line="360" w:lineRule="auto"/>
        <w:jc w:val="left"/>
        <w:rPr>
          <w:sz w:val="24"/>
          <w:rtl/>
        </w:rPr>
      </w:pPr>
    </w:p>
    <w:p w:rsidR="00982259" w:rsidRDefault="00982259" w:rsidP="00044418">
      <w:pPr>
        <w:tabs>
          <w:tab w:val="center" w:pos="3093"/>
          <w:tab w:val="center" w:pos="5973"/>
        </w:tabs>
        <w:spacing w:line="360" w:lineRule="auto"/>
        <w:jc w:val="left"/>
        <w:rPr>
          <w:sz w:val="24"/>
          <w:rtl/>
        </w:rPr>
      </w:pPr>
      <w:bookmarkStart w:id="7" w:name="SignedBy"/>
      <w:bookmarkEnd w:id="7"/>
      <w:r>
        <w:rPr>
          <w:sz w:val="24"/>
          <w:rtl/>
        </w:rPr>
        <w:tab/>
      </w:r>
      <w:r>
        <w:rPr>
          <w:sz w:val="24"/>
          <w:rtl/>
        </w:rPr>
        <w:tab/>
      </w:r>
      <w:r>
        <w:rPr>
          <w:rFonts w:hint="eastAsia"/>
          <w:sz w:val="24"/>
          <w:rtl/>
        </w:rPr>
        <w:t>מגי</w:t>
      </w:r>
      <w:r>
        <w:rPr>
          <w:sz w:val="24"/>
          <w:rtl/>
        </w:rPr>
        <w:t xml:space="preserve"> </w:t>
      </w:r>
      <w:r>
        <w:rPr>
          <w:rFonts w:hint="eastAsia"/>
          <w:sz w:val="24"/>
          <w:rtl/>
        </w:rPr>
        <w:t>בראום</w:t>
      </w:r>
      <w:r>
        <w:rPr>
          <w:sz w:val="24"/>
          <w:rtl/>
        </w:rPr>
        <w:br/>
      </w:r>
      <w:r>
        <w:rPr>
          <w:sz w:val="24"/>
          <w:rtl/>
        </w:rPr>
        <w:tab/>
      </w:r>
      <w:r>
        <w:rPr>
          <w:sz w:val="24"/>
          <w:rtl/>
        </w:rPr>
        <w:tab/>
      </w:r>
      <w:r>
        <w:rPr>
          <w:rFonts w:hint="eastAsia"/>
          <w:sz w:val="24"/>
          <w:rtl/>
        </w:rPr>
        <w:t>סגנית</w:t>
      </w:r>
      <w:r>
        <w:rPr>
          <w:sz w:val="24"/>
          <w:rtl/>
        </w:rPr>
        <w:t xml:space="preserve"> </w:t>
      </w:r>
      <w:r>
        <w:rPr>
          <w:rFonts w:hint="eastAsia"/>
          <w:sz w:val="24"/>
          <w:rtl/>
        </w:rPr>
        <w:t>בכירה</w:t>
      </w:r>
      <w:r>
        <w:rPr>
          <w:sz w:val="24"/>
          <w:rtl/>
        </w:rPr>
        <w:t xml:space="preserve"> </w:t>
      </w:r>
      <w:r>
        <w:rPr>
          <w:rFonts w:hint="eastAsia"/>
          <w:sz w:val="24"/>
          <w:rtl/>
        </w:rPr>
        <w:t>לממונה</w:t>
      </w:r>
      <w:r>
        <w:rPr>
          <w:sz w:val="24"/>
          <w:rtl/>
        </w:rPr>
        <w:t xml:space="preserve"> </w:t>
      </w:r>
      <w:r>
        <w:rPr>
          <w:rFonts w:hint="eastAsia"/>
          <w:sz w:val="24"/>
          <w:rtl/>
        </w:rPr>
        <w:t>על</w:t>
      </w:r>
      <w:r>
        <w:rPr>
          <w:sz w:val="24"/>
          <w:rtl/>
        </w:rPr>
        <w:t xml:space="preserve"> </w:t>
      </w:r>
      <w:r>
        <w:rPr>
          <w:rFonts w:hint="eastAsia"/>
          <w:sz w:val="24"/>
          <w:rtl/>
        </w:rPr>
        <w:t>שוק</w:t>
      </w:r>
      <w:r>
        <w:rPr>
          <w:sz w:val="24"/>
          <w:rtl/>
        </w:rPr>
        <w:t xml:space="preserve"> </w:t>
      </w:r>
      <w:r>
        <w:rPr>
          <w:rFonts w:hint="eastAsia"/>
          <w:sz w:val="24"/>
          <w:rtl/>
        </w:rPr>
        <w:t>ההון</w:t>
      </w:r>
      <w:r>
        <w:rPr>
          <w:sz w:val="24"/>
          <w:rtl/>
        </w:rPr>
        <w:t xml:space="preserve"> </w:t>
      </w:r>
      <w:r>
        <w:rPr>
          <w:rFonts w:hint="eastAsia"/>
          <w:sz w:val="24"/>
          <w:rtl/>
        </w:rPr>
        <w:t>ביטוח</w:t>
      </w:r>
      <w:r>
        <w:rPr>
          <w:sz w:val="24"/>
          <w:rtl/>
        </w:rPr>
        <w:t xml:space="preserve"> </w:t>
      </w:r>
      <w:r>
        <w:rPr>
          <w:rFonts w:hint="eastAsia"/>
          <w:sz w:val="24"/>
          <w:rtl/>
        </w:rPr>
        <w:t>וחסכון</w:t>
      </w:r>
    </w:p>
    <w:p w:rsidR="00044418" w:rsidRPr="00ED1502" w:rsidRDefault="00044418" w:rsidP="00044418">
      <w:pPr>
        <w:spacing w:line="360" w:lineRule="auto"/>
        <w:jc w:val="left"/>
        <w:rPr>
          <w:sz w:val="24"/>
          <w:rtl/>
        </w:rPr>
      </w:pPr>
    </w:p>
    <w:p w:rsidR="00044418" w:rsidRPr="00ED1502" w:rsidRDefault="00044418" w:rsidP="00044418">
      <w:pPr>
        <w:spacing w:line="360" w:lineRule="auto"/>
        <w:jc w:val="left"/>
        <w:rPr>
          <w:sz w:val="24"/>
          <w:rtl/>
        </w:rPr>
      </w:pPr>
      <w:r w:rsidRPr="00ED1502">
        <w:rPr>
          <w:sz w:val="24"/>
          <w:rtl/>
        </w:rPr>
        <w:t>העתק:</w:t>
      </w:r>
      <w:r w:rsidRPr="00ED1502">
        <w:rPr>
          <w:sz w:val="24"/>
          <w:rtl/>
        </w:rPr>
        <w:tab/>
      </w:r>
    </w:p>
    <w:p w:rsidR="00982259" w:rsidRDefault="00982259" w:rsidP="00044418">
      <w:pPr>
        <w:spacing w:line="360" w:lineRule="auto"/>
        <w:jc w:val="left"/>
        <w:rPr>
          <w:sz w:val="24"/>
          <w:rtl/>
        </w:rPr>
      </w:pPr>
      <w:bookmarkStart w:id="8" w:name="OtherTo"/>
      <w:bookmarkEnd w:id="8"/>
      <w:r>
        <w:rPr>
          <w:rFonts w:hint="eastAsia"/>
          <w:sz w:val="24"/>
          <w:rtl/>
        </w:rPr>
        <w:t>מר</w:t>
      </w:r>
      <w:r>
        <w:rPr>
          <w:sz w:val="24"/>
          <w:rtl/>
        </w:rPr>
        <w:t xml:space="preserve"> </w:t>
      </w:r>
      <w:r>
        <w:rPr>
          <w:rFonts w:hint="eastAsia"/>
          <w:sz w:val="24"/>
          <w:rtl/>
        </w:rPr>
        <w:t>רוני</w:t>
      </w:r>
      <w:r>
        <w:rPr>
          <w:sz w:val="24"/>
          <w:rtl/>
        </w:rPr>
        <w:t xml:space="preserve"> </w:t>
      </w:r>
      <w:r>
        <w:rPr>
          <w:rFonts w:hint="eastAsia"/>
          <w:sz w:val="24"/>
          <w:rtl/>
        </w:rPr>
        <w:t>פרידמן</w:t>
      </w:r>
      <w:r>
        <w:rPr>
          <w:sz w:val="24"/>
          <w:rtl/>
        </w:rPr>
        <w:t xml:space="preserve"> - </w:t>
      </w:r>
      <w:r>
        <w:rPr>
          <w:rFonts w:hint="eastAsia"/>
          <w:sz w:val="24"/>
          <w:rtl/>
        </w:rPr>
        <w:t>משנה</w:t>
      </w:r>
      <w:r>
        <w:rPr>
          <w:sz w:val="24"/>
          <w:rtl/>
        </w:rPr>
        <w:t xml:space="preserve"> </w:t>
      </w:r>
      <w:r>
        <w:rPr>
          <w:rFonts w:hint="eastAsia"/>
          <w:sz w:val="24"/>
          <w:rtl/>
        </w:rPr>
        <w:t>למנהל</w:t>
      </w:r>
      <w:r>
        <w:rPr>
          <w:sz w:val="24"/>
          <w:rtl/>
        </w:rPr>
        <w:t xml:space="preserve"> </w:t>
      </w:r>
      <w:r>
        <w:rPr>
          <w:rFonts w:hint="eastAsia"/>
          <w:sz w:val="24"/>
          <w:rtl/>
        </w:rPr>
        <w:t>הכללי</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רוני</w:t>
      </w:r>
      <w:r>
        <w:rPr>
          <w:sz w:val="24"/>
          <w:rtl/>
        </w:rPr>
        <w:t xml:space="preserve"> </w:t>
      </w:r>
      <w:r>
        <w:rPr>
          <w:rFonts w:hint="eastAsia"/>
          <w:sz w:val="24"/>
          <w:rtl/>
        </w:rPr>
        <w:t>מר</w:t>
      </w:r>
      <w:r>
        <w:rPr>
          <w:sz w:val="24"/>
          <w:rtl/>
        </w:rPr>
        <w:t xml:space="preserve"> - </w:t>
      </w:r>
      <w:r>
        <w:rPr>
          <w:rFonts w:hint="eastAsia"/>
          <w:sz w:val="24"/>
          <w:rtl/>
        </w:rPr>
        <w:t>עו</w:t>
      </w:r>
      <w:r>
        <w:rPr>
          <w:sz w:val="24"/>
          <w:rtl/>
        </w:rPr>
        <w:t>"</w:t>
      </w:r>
      <w:r>
        <w:rPr>
          <w:rFonts w:hint="eastAsia"/>
          <w:sz w:val="24"/>
          <w:rtl/>
        </w:rPr>
        <w:t>ד</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מר</w:t>
      </w:r>
      <w:r>
        <w:rPr>
          <w:sz w:val="24"/>
          <w:rtl/>
        </w:rPr>
        <w:t xml:space="preserve"> </w:t>
      </w:r>
      <w:r>
        <w:rPr>
          <w:rFonts w:hint="eastAsia"/>
          <w:sz w:val="24"/>
          <w:rtl/>
        </w:rPr>
        <w:t>שי</w:t>
      </w:r>
      <w:r>
        <w:rPr>
          <w:sz w:val="24"/>
          <w:rtl/>
        </w:rPr>
        <w:t xml:space="preserve"> </w:t>
      </w:r>
      <w:r>
        <w:rPr>
          <w:rFonts w:hint="eastAsia"/>
          <w:sz w:val="24"/>
          <w:rtl/>
        </w:rPr>
        <w:t>בירן</w:t>
      </w:r>
      <w:r>
        <w:rPr>
          <w:sz w:val="24"/>
          <w:rtl/>
        </w:rPr>
        <w:t xml:space="preserve"> - </w:t>
      </w:r>
      <w:r>
        <w:rPr>
          <w:rFonts w:hint="eastAsia"/>
          <w:sz w:val="24"/>
          <w:rtl/>
        </w:rPr>
        <w:t>מנהל</w:t>
      </w:r>
      <w:r>
        <w:rPr>
          <w:sz w:val="24"/>
          <w:rtl/>
        </w:rPr>
        <w:t xml:space="preserve"> </w:t>
      </w:r>
      <w:r>
        <w:rPr>
          <w:rFonts w:hint="eastAsia"/>
          <w:sz w:val="24"/>
          <w:rtl/>
        </w:rPr>
        <w:t>מחלקת</w:t>
      </w:r>
      <w:r>
        <w:rPr>
          <w:sz w:val="24"/>
          <w:rtl/>
        </w:rPr>
        <w:t xml:space="preserve"> </w:t>
      </w:r>
      <w:proofErr w:type="spellStart"/>
      <w:r>
        <w:rPr>
          <w:rFonts w:hint="eastAsia"/>
          <w:sz w:val="24"/>
          <w:rtl/>
        </w:rPr>
        <w:t>סולבנסי</w:t>
      </w:r>
      <w:proofErr w:type="spellEnd"/>
      <w:r>
        <w:rPr>
          <w:sz w:val="24"/>
          <w:rtl/>
        </w:rPr>
        <w:t xml:space="preserve"> 2,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רו</w:t>
      </w:r>
      <w:r>
        <w:rPr>
          <w:sz w:val="24"/>
          <w:rtl/>
        </w:rPr>
        <w:t>"</w:t>
      </w:r>
      <w:r>
        <w:rPr>
          <w:rFonts w:hint="eastAsia"/>
          <w:sz w:val="24"/>
          <w:rtl/>
        </w:rPr>
        <w:t>ח</w:t>
      </w:r>
      <w:r>
        <w:rPr>
          <w:sz w:val="24"/>
          <w:rtl/>
        </w:rPr>
        <w:t xml:space="preserve"> </w:t>
      </w:r>
      <w:r>
        <w:rPr>
          <w:rFonts w:hint="eastAsia"/>
          <w:sz w:val="24"/>
          <w:rtl/>
        </w:rPr>
        <w:t>לי</w:t>
      </w:r>
      <w:r>
        <w:rPr>
          <w:sz w:val="24"/>
          <w:rtl/>
        </w:rPr>
        <w:t xml:space="preserve"> </w:t>
      </w:r>
      <w:r>
        <w:rPr>
          <w:rFonts w:hint="eastAsia"/>
          <w:sz w:val="24"/>
          <w:rtl/>
        </w:rPr>
        <w:t>דגן</w:t>
      </w:r>
      <w:r>
        <w:rPr>
          <w:sz w:val="24"/>
          <w:rtl/>
        </w:rPr>
        <w:t xml:space="preserve"> - </w:t>
      </w:r>
      <w:r>
        <w:rPr>
          <w:rFonts w:hint="eastAsia"/>
          <w:sz w:val="24"/>
          <w:rtl/>
        </w:rPr>
        <w:t>המשנה</w:t>
      </w:r>
      <w:r>
        <w:rPr>
          <w:sz w:val="24"/>
          <w:rtl/>
        </w:rPr>
        <w:t xml:space="preserve"> </w:t>
      </w:r>
      <w:r>
        <w:rPr>
          <w:rFonts w:hint="eastAsia"/>
          <w:sz w:val="24"/>
          <w:rtl/>
        </w:rPr>
        <w:t>לממונה</w:t>
      </w:r>
      <w:r>
        <w:rPr>
          <w:sz w:val="24"/>
          <w:rtl/>
        </w:rPr>
        <w:t xml:space="preserve"> </w:t>
      </w:r>
      <w:r>
        <w:rPr>
          <w:rFonts w:hint="eastAsia"/>
          <w:sz w:val="24"/>
          <w:rtl/>
        </w:rPr>
        <w:t>על</w:t>
      </w:r>
      <w:r>
        <w:rPr>
          <w:sz w:val="24"/>
          <w:rtl/>
        </w:rPr>
        <w:t xml:space="preserve"> </w:t>
      </w:r>
      <w:r>
        <w:rPr>
          <w:rFonts w:hint="eastAsia"/>
          <w:sz w:val="24"/>
          <w:rtl/>
        </w:rPr>
        <w:t>שוק</w:t>
      </w:r>
      <w:r>
        <w:rPr>
          <w:sz w:val="24"/>
          <w:rtl/>
        </w:rPr>
        <w:t xml:space="preserve"> </w:t>
      </w:r>
      <w:r>
        <w:rPr>
          <w:rFonts w:hint="eastAsia"/>
          <w:sz w:val="24"/>
          <w:rtl/>
        </w:rPr>
        <w:t>ההון</w:t>
      </w:r>
      <w:r>
        <w:rPr>
          <w:sz w:val="24"/>
          <w:rtl/>
        </w:rPr>
        <w:t xml:space="preserve"> </w:t>
      </w:r>
      <w:r>
        <w:rPr>
          <w:rFonts w:hint="eastAsia"/>
          <w:sz w:val="24"/>
          <w:rtl/>
        </w:rPr>
        <w:t>ביטוח</w:t>
      </w:r>
      <w:r>
        <w:rPr>
          <w:sz w:val="24"/>
          <w:rtl/>
        </w:rPr>
        <w:t xml:space="preserve"> </w:t>
      </w:r>
      <w:r>
        <w:rPr>
          <w:rFonts w:hint="eastAsia"/>
          <w:sz w:val="24"/>
          <w:rtl/>
        </w:rPr>
        <w:t>וחיסכון</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גב</w:t>
      </w:r>
      <w:r>
        <w:rPr>
          <w:sz w:val="24"/>
          <w:rtl/>
        </w:rPr>
        <w:t xml:space="preserve">' </w:t>
      </w:r>
      <w:r>
        <w:rPr>
          <w:rFonts w:hint="eastAsia"/>
          <w:sz w:val="24"/>
          <w:rtl/>
        </w:rPr>
        <w:t>מירית</w:t>
      </w:r>
      <w:r>
        <w:rPr>
          <w:sz w:val="24"/>
          <w:rtl/>
        </w:rPr>
        <w:t xml:space="preserve"> </w:t>
      </w:r>
      <w:r>
        <w:rPr>
          <w:rFonts w:hint="eastAsia"/>
          <w:sz w:val="24"/>
          <w:rtl/>
        </w:rPr>
        <w:t>נחמיאס</w:t>
      </w:r>
      <w:r>
        <w:rPr>
          <w:sz w:val="24"/>
          <w:rtl/>
        </w:rPr>
        <w:t xml:space="preserve"> - </w:t>
      </w:r>
      <w:r>
        <w:rPr>
          <w:rFonts w:hint="eastAsia"/>
          <w:sz w:val="24"/>
          <w:rtl/>
        </w:rPr>
        <w:t>ראש</w:t>
      </w:r>
      <w:r>
        <w:rPr>
          <w:sz w:val="24"/>
          <w:rtl/>
        </w:rPr>
        <w:t xml:space="preserve"> </w:t>
      </w:r>
      <w:r>
        <w:rPr>
          <w:rFonts w:hint="eastAsia"/>
          <w:sz w:val="24"/>
          <w:rtl/>
        </w:rPr>
        <w:t>ענף</w:t>
      </w:r>
      <w:r>
        <w:rPr>
          <w:sz w:val="24"/>
          <w:rtl/>
        </w:rPr>
        <w:t xml:space="preserve"> </w:t>
      </w:r>
      <w:r>
        <w:rPr>
          <w:rFonts w:hint="eastAsia"/>
          <w:sz w:val="24"/>
          <w:rtl/>
        </w:rPr>
        <w:t>אמרכלות</w:t>
      </w:r>
      <w:r>
        <w:rPr>
          <w:sz w:val="24"/>
          <w:rtl/>
        </w:rPr>
        <w:t xml:space="preserve">, </w:t>
      </w:r>
      <w:r>
        <w:rPr>
          <w:rFonts w:hint="eastAsia"/>
          <w:sz w:val="24"/>
          <w:rtl/>
        </w:rPr>
        <w:t>משרד</w:t>
      </w:r>
      <w:r>
        <w:rPr>
          <w:sz w:val="24"/>
          <w:rtl/>
        </w:rPr>
        <w:t xml:space="preserve"> </w:t>
      </w:r>
      <w:r>
        <w:rPr>
          <w:rFonts w:hint="eastAsia"/>
          <w:sz w:val="24"/>
          <w:rtl/>
        </w:rPr>
        <w:t>האוצר</w:t>
      </w:r>
    </w:p>
    <w:p w:rsidR="00044418" w:rsidRPr="004C64D8" w:rsidRDefault="00044418" w:rsidP="00044418">
      <w:pPr>
        <w:rPr>
          <w:szCs w:val="26"/>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bidi w:val="0"/>
        <w:spacing w:before="200" w:after="200" w:line="276" w:lineRule="auto"/>
        <w:jc w:val="left"/>
        <w:rPr>
          <w:rFonts w:ascii="Arial" w:hAnsi="Arial" w:cs="Arial"/>
          <w:b/>
          <w:sz w:val="22"/>
          <w:szCs w:val="22"/>
          <w:rtl/>
        </w:rPr>
      </w:pPr>
      <w:r>
        <w:rPr>
          <w:rFonts w:ascii="Arial" w:hAnsi="Arial" w:cs="Arial"/>
          <w:b/>
          <w:sz w:val="22"/>
          <w:szCs w:val="22"/>
          <w:rtl/>
        </w:rPr>
        <w:br w:type="page"/>
      </w:r>
    </w:p>
    <w:p w:rsidR="00044418" w:rsidRPr="00813E93" w:rsidRDefault="00044418" w:rsidP="00044418">
      <w:pPr>
        <w:rPr>
          <w:rFonts w:ascii="Arial" w:hAnsi="Arial" w:cs="Arial"/>
          <w:b/>
          <w:sz w:val="22"/>
          <w:szCs w:val="22"/>
          <w:rtl/>
        </w:rPr>
      </w:pPr>
      <w:r w:rsidRPr="00813E93">
        <w:rPr>
          <w:rFonts w:ascii="Arial" w:hAnsi="Arial" w:cs="Arial"/>
          <w:b/>
          <w:sz w:val="22"/>
          <w:szCs w:val="22"/>
          <w:rtl/>
        </w:rPr>
        <w:lastRenderedPageBreak/>
        <w:t xml:space="preserve">אל: </w:t>
      </w:r>
      <w:r>
        <w:rPr>
          <w:rFonts w:ascii="Arial" w:hAnsi="Arial" w:cs="Arial" w:hint="cs"/>
          <w:b/>
          <w:sz w:val="22"/>
          <w:szCs w:val="22"/>
          <w:rtl/>
        </w:rPr>
        <w:t xml:space="preserve">ועדת המכרזים </w:t>
      </w:r>
    </w:p>
    <w:p w:rsidR="00044418" w:rsidRPr="00813E93" w:rsidRDefault="00044418" w:rsidP="00044418">
      <w:pPr>
        <w:rPr>
          <w:rFonts w:ascii="Arial" w:hAnsi="Arial" w:cs="Arial"/>
          <w:b/>
          <w:sz w:val="22"/>
          <w:szCs w:val="22"/>
          <w:rtl/>
        </w:rPr>
      </w:pPr>
    </w:p>
    <w:p w:rsidR="00044418" w:rsidRPr="002A5F9B" w:rsidRDefault="00044418" w:rsidP="00044418">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xml:space="preserve"> </w:t>
      </w:r>
    </w:p>
    <w:p w:rsidR="00044418" w:rsidRDefault="00044418" w:rsidP="00044418">
      <w:pPr>
        <w:rPr>
          <w:rFonts w:ascii="Arial" w:hAnsi="Arial" w:cs="Arial"/>
          <w:b/>
          <w:sz w:val="22"/>
          <w:szCs w:val="22"/>
          <w:rtl/>
        </w:rPr>
      </w:pPr>
    </w:p>
    <w:p w:rsidR="00044418" w:rsidRDefault="00044418" w:rsidP="00044418">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 3(29)</w:t>
      </w:r>
      <w:r>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044418" w:rsidRPr="00813E93" w:rsidRDefault="00044418" w:rsidP="00044418">
      <w:pPr>
        <w:rPr>
          <w:rFonts w:ascii="Arial" w:hAnsi="Arial" w:cs="Arial"/>
          <w:b/>
          <w:sz w:val="22"/>
          <w:szCs w:val="22"/>
          <w:rtl/>
        </w:rPr>
      </w:pPr>
    </w:p>
    <w:p w:rsidR="00044418" w:rsidRDefault="00044418" w:rsidP="00044418">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044418" w:rsidRPr="008B0C91" w:rsidTr="005D3AE0">
        <w:tc>
          <w:tcPr>
            <w:tcW w:w="9178" w:type="dxa"/>
            <w:tcBorders>
              <w:bottom w:val="single" w:sz="4" w:space="0" w:color="auto"/>
            </w:tcBorders>
            <w:shd w:val="clear" w:color="auto" w:fill="E6E6E6"/>
          </w:tcPr>
          <w:p w:rsidR="00044418" w:rsidRPr="008B0C91" w:rsidRDefault="00044418" w:rsidP="005D3AE0">
            <w:pPr>
              <w:spacing w:line="360" w:lineRule="auto"/>
              <w:rPr>
                <w:rFonts w:ascii="Arial" w:hAnsi="Arial" w:cs="Arial"/>
                <w:bCs/>
                <w:highlight w:val="yellow"/>
                <w:rtl/>
              </w:rPr>
            </w:pPr>
            <w:r w:rsidRPr="008B0C91">
              <w:rPr>
                <w:rFonts w:ascii="Arial" w:hAnsi="Arial" w:cs="Arial" w:hint="cs"/>
                <w:bCs/>
                <w:rtl/>
              </w:rPr>
              <w:t>תיאור מהות ההתקשרות (רקע ופירוט התכונות של הטובין/השירות/העבודה)</w:t>
            </w:r>
          </w:p>
        </w:tc>
      </w:tr>
      <w:tr w:rsidR="00044418" w:rsidRPr="008B0C91" w:rsidTr="005D3AE0">
        <w:tc>
          <w:tcPr>
            <w:tcW w:w="9178" w:type="dxa"/>
            <w:tcBorders>
              <w:bottom w:val="single" w:sz="4" w:space="0" w:color="auto"/>
            </w:tcBorders>
            <w:shd w:val="clear" w:color="auto" w:fill="auto"/>
          </w:tcPr>
          <w:p w:rsidR="00044418" w:rsidRPr="00830FA2" w:rsidRDefault="00044418" w:rsidP="005D3AE0">
            <w:pPr>
              <w:spacing w:before="120" w:after="120" w:line="360" w:lineRule="auto"/>
              <w:rPr>
                <w:rtl/>
              </w:rPr>
            </w:pPr>
            <w:r>
              <w:rPr>
                <w:rFonts w:hint="cs"/>
                <w:rtl/>
              </w:rPr>
              <w:t>שירות למתן עדכונים העוסקים במגוון סוגיות הנוגעות לניהול סיכונים בחברות ביטוח ולשם אספקת מידע עדכני לגבי התפתחות תהליך יישום הדירקטיבה האירופאית.</w:t>
            </w:r>
          </w:p>
        </w:tc>
      </w:tr>
    </w:tbl>
    <w:p w:rsidR="00044418" w:rsidRDefault="00044418" w:rsidP="00044418">
      <w:pPr>
        <w:rPr>
          <w:rFonts w:ascii="Arial" w:hAnsi="Arial" w:cs="Arial"/>
          <w:b/>
          <w:sz w:val="22"/>
          <w:szCs w:val="22"/>
          <w:rtl/>
        </w:rPr>
      </w:pPr>
    </w:p>
    <w:p w:rsidR="00044418" w:rsidRDefault="00044418" w:rsidP="0004441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proofErr w:type="gramStart"/>
      <w:r>
        <w:rPr>
          <w:rFonts w:ascii="Arial" w:hAnsi="Arial" w:cs="Arial" w:hint="cs"/>
          <w:b/>
          <w:sz w:val="22"/>
          <w:szCs w:val="22"/>
        </w:rPr>
        <w:t>X</w:t>
      </w:r>
      <w:r>
        <w:rPr>
          <w:rFonts w:ascii="Arial" w:hAnsi="Arial" w:cs="Arial" w:hint="cs"/>
          <w:b/>
          <w:sz w:val="22"/>
          <w:szCs w:val="22"/>
          <w:rtl/>
        </w:rPr>
        <w:t xml:space="preserve">  לא</w:t>
      </w:r>
      <w:proofErr w:type="gramEnd"/>
      <w:r>
        <w:rPr>
          <w:rFonts w:ascii="Arial" w:hAnsi="Arial" w:cs="Arial" w:hint="cs"/>
          <w:b/>
          <w:sz w:val="22"/>
          <w:szCs w:val="22"/>
          <w:rtl/>
        </w:rPr>
        <w:t xml:space="preserve">     </w:t>
      </w:r>
      <w:r w:rsidRPr="00CA4871">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Pr>
          <w:rFonts w:ascii="Arial" w:hAnsi="Arial" w:cs="Arial" w:hint="cs"/>
          <w:b/>
          <w:sz w:val="28"/>
          <w:szCs w:val="28"/>
          <w:rtl/>
        </w:rPr>
        <w:t xml:space="preserve"> </w:t>
      </w:r>
    </w:p>
    <w:p w:rsidR="00044418" w:rsidRDefault="00044418" w:rsidP="00044418">
      <w:pPr>
        <w:rPr>
          <w:rFonts w:ascii="Arial" w:hAnsi="Arial" w:cs="Arial"/>
          <w:b/>
          <w:sz w:val="22"/>
          <w:szCs w:val="22"/>
          <w:rtl/>
        </w:rPr>
      </w:pPr>
    </w:p>
    <w:p w:rsidR="00044418" w:rsidRPr="00813E93" w:rsidRDefault="00044418" w:rsidP="00044418">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44418" w:rsidRPr="00813E93" w:rsidRDefault="00044418" w:rsidP="00044418">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44418" w:rsidRPr="00813E93" w:rsidTr="005D3AE0">
        <w:tc>
          <w:tcPr>
            <w:tcW w:w="3085" w:type="dxa"/>
          </w:tcPr>
          <w:p w:rsidR="00044418" w:rsidRPr="00813E93" w:rsidRDefault="00044418" w:rsidP="005D3AE0">
            <w:pPr>
              <w:ind w:right="283"/>
              <w:rPr>
                <w:rFonts w:ascii="Arial" w:hAnsi="Arial" w:cs="Arial"/>
                <w:b/>
                <w:sz w:val="22"/>
                <w:szCs w:val="22"/>
                <w:rtl/>
              </w:rPr>
            </w:pP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Pr="00813E93">
              <w:rPr>
                <w:rFonts w:ascii="Arial" w:hAnsi="Arial" w:cs="Arial"/>
                <w:b/>
                <w:sz w:val="22"/>
                <w:szCs w:val="22"/>
                <w:rtl/>
              </w:rPr>
              <w:t>טובין</w:t>
            </w:r>
            <w:r>
              <w:rPr>
                <w:rFonts w:ascii="Arial" w:hAnsi="Arial" w:cs="Arial" w:hint="cs"/>
                <w:b/>
                <w:sz w:val="22"/>
                <w:szCs w:val="22"/>
              </w:rPr>
              <w:t xml:space="preserve"> </w:t>
            </w:r>
            <w:r>
              <w:rPr>
                <w:rFonts w:ascii="Arial" w:hAnsi="Arial" w:cs="Arial" w:hint="cs"/>
                <w:b/>
                <w:sz w:val="22"/>
                <w:szCs w:val="22"/>
                <w:rtl/>
              </w:rPr>
              <w:t xml:space="preserve"> </w:t>
            </w:r>
          </w:p>
        </w:tc>
        <w:tc>
          <w:tcPr>
            <w:tcW w:w="2977" w:type="dxa"/>
          </w:tcPr>
          <w:p w:rsidR="00044418" w:rsidRPr="00813E93" w:rsidRDefault="00044418" w:rsidP="005D3AE0">
            <w:pPr>
              <w:ind w:right="283"/>
              <w:rPr>
                <w:rFonts w:ascii="Arial" w:hAnsi="Arial" w:cs="Arial"/>
                <w:b/>
                <w:sz w:val="22"/>
                <w:szCs w:val="22"/>
                <w:rtl/>
              </w:rPr>
            </w:pPr>
            <w:r>
              <w:rPr>
                <w:rFonts w:ascii="Arial" w:hAnsi="Arial" w:cs="Arial" w:hint="cs"/>
                <w:b/>
                <w:sz w:val="28"/>
                <w:szCs w:val="28"/>
                <w:rtl/>
              </w:rPr>
              <w:t xml:space="preserve"> </w:t>
            </w:r>
            <w:r>
              <w:rPr>
                <w:rFonts w:ascii="Arial" w:hAnsi="Arial" w:cs="Arial"/>
                <w:b/>
                <w:sz w:val="28"/>
                <w:szCs w:val="28"/>
              </w:rPr>
              <w:t xml:space="preserve"> </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r>
              <w:rPr>
                <w:rFonts w:ascii="Arial" w:hAnsi="Arial" w:cs="Arial" w:hint="cs"/>
                <w:b/>
                <w:sz w:val="22"/>
                <w:szCs w:val="22"/>
              </w:rPr>
              <w:t xml:space="preserve"> X</w:t>
            </w:r>
          </w:p>
        </w:tc>
        <w:tc>
          <w:tcPr>
            <w:tcW w:w="3116" w:type="dxa"/>
          </w:tcPr>
          <w:p w:rsidR="00044418" w:rsidRDefault="00044418" w:rsidP="005D3AE0">
            <w:pPr>
              <w:ind w:right="283"/>
              <w:rPr>
                <w:rFonts w:ascii="Arial" w:hAnsi="Arial" w:cs="Arial"/>
                <w:b/>
                <w:sz w:val="22"/>
                <w:szCs w:val="22"/>
              </w:rPr>
            </w:pPr>
            <w:r>
              <w:rPr>
                <w:rFonts w:ascii="Arial" w:hAnsi="Arial" w:cs="Arial" w:hint="cs"/>
                <w:b/>
                <w:sz w:val="28"/>
                <w:szCs w:val="28"/>
                <w:rtl/>
              </w:rPr>
              <w:t xml:space="preserve"> </w:t>
            </w:r>
            <w:r>
              <w:rPr>
                <w:rFonts w:ascii="Arial" w:hAnsi="Arial" w:cs="Arial" w:hint="cs"/>
                <w:b/>
                <w:sz w:val="22"/>
                <w:szCs w:val="22"/>
                <w:rtl/>
              </w:rPr>
              <w:t xml:space="preserve">  ביצוע </w:t>
            </w:r>
            <w:r w:rsidRPr="00813E93">
              <w:rPr>
                <w:rFonts w:ascii="Arial" w:hAnsi="Arial" w:cs="Arial"/>
                <w:b/>
                <w:sz w:val="22"/>
                <w:szCs w:val="22"/>
                <w:rtl/>
              </w:rPr>
              <w:t>עבודה</w:t>
            </w:r>
          </w:p>
          <w:p w:rsidR="00044418" w:rsidRPr="00813E93" w:rsidRDefault="00044418" w:rsidP="005D3AE0">
            <w:pPr>
              <w:ind w:right="283"/>
              <w:rPr>
                <w:rFonts w:ascii="Arial" w:hAnsi="Arial" w:cs="Arial"/>
                <w:b/>
                <w:sz w:val="22"/>
                <w:szCs w:val="22"/>
                <w:rtl/>
              </w:rPr>
            </w:pPr>
          </w:p>
        </w:tc>
      </w:tr>
    </w:tbl>
    <w:p w:rsidR="00044418" w:rsidRPr="00813E93" w:rsidRDefault="00044418" w:rsidP="00044418">
      <w:pPr>
        <w:rPr>
          <w:rFonts w:ascii="Arial" w:hAnsi="Arial" w:cs="Arial"/>
          <w:b/>
          <w:sz w:val="22"/>
          <w:szCs w:val="22"/>
          <w:rtl/>
        </w:rPr>
      </w:pPr>
    </w:p>
    <w:tbl>
      <w:tblPr>
        <w:bidiVisual/>
        <w:tblW w:w="0" w:type="auto"/>
        <w:tblLook w:val="01E0" w:firstRow="1" w:lastRow="1" w:firstColumn="1" w:lastColumn="1" w:noHBand="0" w:noVBand="0"/>
      </w:tblPr>
      <w:tblGrid>
        <w:gridCol w:w="2615"/>
        <w:gridCol w:w="3147"/>
        <w:gridCol w:w="2767"/>
      </w:tblGrid>
      <w:tr w:rsidR="00044418" w:rsidRPr="008B0C91" w:rsidTr="005D3AE0">
        <w:tc>
          <w:tcPr>
            <w:tcW w:w="2698" w:type="dxa"/>
            <w:tcBorders>
              <w:top w:val="single" w:sz="4" w:space="0" w:color="auto"/>
              <w:left w:val="single" w:sz="4" w:space="0" w:color="auto"/>
              <w:bottom w:val="single" w:sz="4" w:space="0" w:color="auto"/>
              <w:right w:val="single" w:sz="4" w:space="0" w:color="auto"/>
            </w:tcBorders>
            <w:shd w:val="clear" w:color="auto" w:fill="E6E6E6"/>
          </w:tcPr>
          <w:p w:rsidR="00044418" w:rsidRPr="008B0C91" w:rsidRDefault="00044418" w:rsidP="005D3AE0">
            <w:pPr>
              <w:spacing w:line="360" w:lineRule="auto"/>
              <w:rPr>
                <w:rFonts w:ascii="Arial" w:hAnsi="Arial" w:cs="Arial"/>
                <w:bCs/>
                <w:sz w:val="22"/>
                <w:szCs w:val="22"/>
                <w:rtl/>
              </w:rPr>
            </w:pPr>
            <w:r w:rsidRPr="008B0C91">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044418" w:rsidRPr="008B0C91" w:rsidRDefault="00044418" w:rsidP="005D3AE0">
            <w:pPr>
              <w:rPr>
                <w:rFonts w:ascii="Arial" w:hAnsi="Arial" w:cs="Arial"/>
                <w:b/>
                <w:sz w:val="22"/>
                <w:szCs w:val="22"/>
                <w:highlight w:val="yellow"/>
                <w:rtl/>
              </w:rPr>
            </w:pPr>
            <w:r>
              <w:rPr>
                <w:rFonts w:ascii="Arial" w:hAnsi="Arial" w:cs="Arial"/>
                <w:b/>
                <w:sz w:val="22"/>
                <w:szCs w:val="22"/>
              </w:rPr>
              <w:t>Insurance ERM</w:t>
            </w:r>
            <w:r>
              <w:rPr>
                <w:rFonts w:hint="cs"/>
                <w:rtl/>
              </w:rPr>
              <w:t xml:space="preserve">  </w:t>
            </w:r>
            <w:r w:rsidRPr="008B0C91">
              <w:rPr>
                <w:rFonts w:ascii="Arial" w:hAnsi="Arial" w:cs="Arial" w:hint="cs"/>
                <w:b/>
                <w:sz w:val="22"/>
                <w:szCs w:val="22"/>
                <w:highlight w:val="yellow"/>
                <w:rtl/>
              </w:rPr>
              <w:t xml:space="preserve">  </w:t>
            </w:r>
          </w:p>
        </w:tc>
      </w:tr>
      <w:tr w:rsidR="00044418" w:rsidRPr="008B0C91" w:rsidTr="005D3AE0">
        <w:tc>
          <w:tcPr>
            <w:tcW w:w="2698" w:type="dxa"/>
            <w:tcBorders>
              <w:top w:val="single" w:sz="4" w:space="0" w:color="auto"/>
              <w:left w:val="single" w:sz="4" w:space="0" w:color="auto"/>
              <w:bottom w:val="single" w:sz="4" w:space="0" w:color="auto"/>
              <w:right w:val="single" w:sz="4" w:space="0" w:color="auto"/>
            </w:tcBorders>
            <w:shd w:val="clear" w:color="auto" w:fill="E6E6E6"/>
          </w:tcPr>
          <w:p w:rsidR="00044418" w:rsidRPr="008B0C91" w:rsidRDefault="00044418" w:rsidP="005D3AE0">
            <w:pPr>
              <w:spacing w:line="360" w:lineRule="auto"/>
              <w:rPr>
                <w:rFonts w:ascii="Arial" w:hAnsi="Arial" w:cs="Arial"/>
                <w:bCs/>
                <w:sz w:val="22"/>
                <w:szCs w:val="22"/>
                <w:rtl/>
              </w:rPr>
            </w:pPr>
            <w:r w:rsidRPr="008B0C91">
              <w:rPr>
                <w:rFonts w:ascii="Arial" w:hAnsi="Arial" w:cs="Arial" w:hint="cs"/>
                <w:bCs/>
                <w:sz w:val="22"/>
                <w:szCs w:val="22"/>
                <w:rtl/>
              </w:rPr>
              <w:t xml:space="preserve">מספר הספק </w:t>
            </w:r>
          </w:p>
          <w:p w:rsidR="00044418" w:rsidRPr="008B0C91" w:rsidRDefault="00044418" w:rsidP="005D3AE0">
            <w:pPr>
              <w:spacing w:line="360" w:lineRule="auto"/>
              <w:rPr>
                <w:rFonts w:ascii="Arial" w:hAnsi="Arial" w:cs="Arial"/>
                <w:bCs/>
                <w:sz w:val="22"/>
                <w:szCs w:val="22"/>
                <w:rtl/>
              </w:rPr>
            </w:pPr>
            <w:r w:rsidRPr="008B0C91">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044418" w:rsidRPr="00A449B8" w:rsidRDefault="00044418" w:rsidP="005D3AE0">
            <w:pPr>
              <w:rPr>
                <w:rFonts w:ascii="Arial" w:hAnsi="Arial" w:cs="Arial"/>
                <w:b/>
                <w:sz w:val="22"/>
                <w:szCs w:val="22"/>
                <w:rtl/>
              </w:rPr>
            </w:pPr>
            <w:r w:rsidRPr="00A449B8">
              <w:rPr>
                <w:rFonts w:ascii="Arial" w:hAnsi="Arial" w:cs="Arial" w:hint="cs"/>
                <w:b/>
                <w:sz w:val="22"/>
                <w:szCs w:val="22"/>
                <w:rtl/>
              </w:rPr>
              <w:t xml:space="preserve"> </w:t>
            </w:r>
          </w:p>
          <w:p w:rsidR="00044418" w:rsidRPr="00A449B8" w:rsidRDefault="00044418" w:rsidP="005D3AE0">
            <w:pPr>
              <w:rPr>
                <w:rFonts w:ascii="Arial" w:hAnsi="Arial" w:cs="Arial"/>
                <w:b/>
                <w:sz w:val="22"/>
                <w:szCs w:val="22"/>
                <w:rtl/>
              </w:rPr>
            </w:pPr>
            <w:r w:rsidRPr="00A449B8">
              <w:rPr>
                <w:rFonts w:ascii="Arial" w:hAnsi="Arial" w:cs="Arial" w:hint="cs"/>
                <w:b/>
                <w:sz w:val="22"/>
                <w:szCs w:val="22"/>
                <w:rtl/>
              </w:rPr>
              <w:t xml:space="preserve"> </w:t>
            </w:r>
            <w:r>
              <w:rPr>
                <w:rFonts w:ascii="Arial" w:hAnsi="Arial" w:cs="Arial" w:hint="cs"/>
                <w:b/>
                <w:sz w:val="22"/>
                <w:szCs w:val="22"/>
                <w:rtl/>
              </w:rPr>
              <w:t>ספק חוץ</w:t>
            </w:r>
          </w:p>
        </w:tc>
      </w:tr>
      <w:tr w:rsidR="00044418" w:rsidRPr="008B0C91" w:rsidTr="005D3AE0">
        <w:tc>
          <w:tcPr>
            <w:tcW w:w="2698" w:type="dxa"/>
            <w:tcBorders>
              <w:top w:val="single" w:sz="4" w:space="0" w:color="auto"/>
              <w:left w:val="single" w:sz="4" w:space="0" w:color="auto"/>
              <w:bottom w:val="single" w:sz="4" w:space="0" w:color="auto"/>
              <w:right w:val="single" w:sz="4" w:space="0" w:color="auto"/>
            </w:tcBorders>
            <w:shd w:val="clear" w:color="auto" w:fill="E6E6E6"/>
          </w:tcPr>
          <w:p w:rsidR="00044418" w:rsidRPr="008B0C91" w:rsidRDefault="00044418" w:rsidP="005D3AE0">
            <w:pPr>
              <w:spacing w:line="360" w:lineRule="auto"/>
              <w:rPr>
                <w:rFonts w:ascii="Arial" w:hAnsi="Arial" w:cs="Arial"/>
                <w:bCs/>
                <w:sz w:val="22"/>
                <w:szCs w:val="22"/>
                <w:rtl/>
              </w:rPr>
            </w:pPr>
            <w:r w:rsidRPr="008B0C91">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044418" w:rsidRPr="00A449B8" w:rsidRDefault="00044418" w:rsidP="005D3AE0">
            <w:pPr>
              <w:rPr>
                <w:rFonts w:ascii="Arial" w:hAnsi="Arial" w:cs="Arial"/>
                <w:b/>
                <w:sz w:val="22"/>
                <w:szCs w:val="22"/>
                <w:rtl/>
              </w:rPr>
            </w:pPr>
            <w:r w:rsidRPr="00A449B8">
              <w:rPr>
                <w:rFonts w:ascii="Arial" w:hAnsi="Arial" w:cs="Arial"/>
                <w:b/>
                <w:sz w:val="28"/>
                <w:szCs w:val="28"/>
              </w:rPr>
              <w:t xml:space="preserve">X      </w:t>
            </w:r>
            <w:r w:rsidRPr="00A449B8">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044418" w:rsidRPr="00A449B8" w:rsidRDefault="00044418" w:rsidP="005D3AE0">
            <w:pPr>
              <w:rPr>
                <w:rFonts w:ascii="Arial" w:hAnsi="Arial" w:cs="Arial"/>
                <w:b/>
                <w:sz w:val="22"/>
                <w:szCs w:val="22"/>
                <w:rtl/>
              </w:rPr>
            </w:pPr>
          </w:p>
        </w:tc>
      </w:tr>
      <w:tr w:rsidR="00044418" w:rsidRPr="008B0C91" w:rsidTr="005D3AE0">
        <w:tc>
          <w:tcPr>
            <w:tcW w:w="2698" w:type="dxa"/>
            <w:tcBorders>
              <w:top w:val="single" w:sz="4" w:space="0" w:color="auto"/>
              <w:left w:val="single" w:sz="4" w:space="0" w:color="auto"/>
              <w:bottom w:val="single" w:sz="4" w:space="0" w:color="auto"/>
              <w:right w:val="single" w:sz="4" w:space="0" w:color="auto"/>
            </w:tcBorders>
            <w:shd w:val="clear" w:color="auto" w:fill="E6E6E6"/>
          </w:tcPr>
          <w:p w:rsidR="00044418" w:rsidRPr="008B0C91" w:rsidRDefault="00044418" w:rsidP="005D3AE0">
            <w:pPr>
              <w:spacing w:line="360" w:lineRule="auto"/>
              <w:rPr>
                <w:rFonts w:ascii="Arial" w:hAnsi="Arial" w:cs="Arial"/>
                <w:bCs/>
                <w:sz w:val="22"/>
                <w:szCs w:val="22"/>
                <w:rtl/>
              </w:rPr>
            </w:pPr>
            <w:r w:rsidRPr="008B0C91">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044418" w:rsidRPr="00A449B8" w:rsidRDefault="00044418" w:rsidP="005D3AE0">
            <w:pPr>
              <w:rPr>
                <w:rFonts w:ascii="Arial" w:hAnsi="Arial" w:cs="Arial"/>
                <w:sz w:val="22"/>
                <w:szCs w:val="22"/>
                <w:rtl/>
              </w:rPr>
            </w:pPr>
            <w:r w:rsidRPr="00A449B8">
              <w:rPr>
                <w:rFonts w:ascii="Arial" w:hAnsi="Arial" w:cs="Arial" w:hint="cs"/>
                <w:sz w:val="22"/>
                <w:szCs w:val="22"/>
                <w:rtl/>
              </w:rPr>
              <w:t xml:space="preserve"> </w:t>
            </w:r>
            <w:r w:rsidRPr="00A449B8">
              <w:rPr>
                <w:rFonts w:hint="cs"/>
                <w:rtl/>
              </w:rPr>
              <w:t xml:space="preserve"> </w:t>
            </w:r>
          </w:p>
        </w:tc>
      </w:tr>
      <w:tr w:rsidR="00044418" w:rsidRPr="008B0C91" w:rsidTr="005D3AE0">
        <w:tc>
          <w:tcPr>
            <w:tcW w:w="2698" w:type="dxa"/>
            <w:tcBorders>
              <w:top w:val="single" w:sz="4" w:space="0" w:color="auto"/>
              <w:left w:val="single" w:sz="4" w:space="0" w:color="auto"/>
              <w:bottom w:val="single" w:sz="4" w:space="0" w:color="auto"/>
              <w:right w:val="single" w:sz="4" w:space="0" w:color="auto"/>
            </w:tcBorders>
            <w:shd w:val="clear" w:color="auto" w:fill="E6E6E6"/>
          </w:tcPr>
          <w:p w:rsidR="00044418" w:rsidRPr="008B0C91" w:rsidRDefault="00044418" w:rsidP="005D3AE0">
            <w:pPr>
              <w:spacing w:line="360" w:lineRule="auto"/>
              <w:rPr>
                <w:rFonts w:ascii="Arial" w:hAnsi="Arial" w:cs="Arial"/>
                <w:bCs/>
                <w:sz w:val="22"/>
                <w:szCs w:val="22"/>
                <w:rtl/>
              </w:rPr>
            </w:pPr>
            <w:r w:rsidRPr="008B0C91">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044418" w:rsidRPr="00A449B8" w:rsidRDefault="00044418" w:rsidP="005D3AE0">
            <w:pPr>
              <w:rPr>
                <w:rFonts w:ascii="Arial" w:hAnsi="Arial" w:cs="Arial"/>
                <w:b/>
                <w:sz w:val="22"/>
                <w:szCs w:val="22"/>
                <w:rtl/>
              </w:rPr>
            </w:pPr>
            <w:r w:rsidRPr="00A449B8">
              <w:rPr>
                <w:rFonts w:ascii="Arial" w:hAnsi="Arial" w:cs="Arial" w:hint="cs"/>
                <w:b/>
                <w:sz w:val="22"/>
                <w:szCs w:val="22"/>
                <w:rtl/>
              </w:rPr>
              <w:t xml:space="preserve">עד </w:t>
            </w:r>
            <w:r>
              <w:rPr>
                <w:rFonts w:ascii="Arial" w:hAnsi="Arial" w:cs="Arial" w:hint="cs"/>
                <w:b/>
                <w:sz w:val="22"/>
                <w:szCs w:val="22"/>
                <w:rtl/>
              </w:rPr>
              <w:t>30</w:t>
            </w:r>
            <w:r w:rsidRPr="00A449B8">
              <w:rPr>
                <w:rFonts w:ascii="Arial" w:hAnsi="Arial" w:cs="Arial" w:hint="cs"/>
                <w:b/>
                <w:sz w:val="22"/>
                <w:szCs w:val="22"/>
                <w:rtl/>
              </w:rPr>
              <w:t>.</w:t>
            </w:r>
            <w:r>
              <w:rPr>
                <w:rFonts w:ascii="Arial" w:hAnsi="Arial" w:cs="Arial" w:hint="cs"/>
                <w:b/>
                <w:sz w:val="22"/>
                <w:szCs w:val="22"/>
                <w:rtl/>
              </w:rPr>
              <w:t>06</w:t>
            </w:r>
            <w:r w:rsidRPr="00A449B8">
              <w:rPr>
                <w:rFonts w:ascii="Arial" w:hAnsi="Arial" w:cs="Arial" w:hint="cs"/>
                <w:b/>
                <w:sz w:val="22"/>
                <w:szCs w:val="22"/>
                <w:rtl/>
              </w:rPr>
              <w:t>.</w:t>
            </w:r>
            <w:r>
              <w:rPr>
                <w:rFonts w:ascii="Arial" w:hAnsi="Arial" w:cs="Arial" w:hint="cs"/>
                <w:b/>
                <w:sz w:val="22"/>
                <w:szCs w:val="22"/>
                <w:rtl/>
              </w:rPr>
              <w:t>2013</w:t>
            </w:r>
          </w:p>
        </w:tc>
      </w:tr>
    </w:tbl>
    <w:p w:rsidR="00044418" w:rsidRDefault="00044418" w:rsidP="00044418">
      <w:pPr>
        <w:rPr>
          <w:rFonts w:ascii="Arial" w:hAnsi="Arial" w:cs="Arial"/>
          <w:bCs/>
          <w:rtl/>
        </w:rPr>
      </w:pPr>
    </w:p>
    <w:p w:rsidR="00044418" w:rsidRDefault="00044418" w:rsidP="00044418">
      <w:pPr>
        <w:rPr>
          <w:rFonts w:ascii="Arial" w:hAnsi="Arial" w:cs="Arial"/>
          <w:bCs/>
          <w:rtl/>
        </w:rPr>
      </w:pPr>
    </w:p>
    <w:p w:rsidR="00044418" w:rsidRDefault="00044418" w:rsidP="00044418">
      <w:pPr>
        <w:rPr>
          <w:rFonts w:ascii="Arial" w:hAnsi="Arial" w:cs="Arial"/>
          <w:bCs/>
          <w:rtl/>
        </w:rPr>
      </w:pPr>
    </w:p>
    <w:p w:rsidR="00044418" w:rsidRPr="00BD3C63" w:rsidRDefault="00044418" w:rsidP="00044418">
      <w:pPr>
        <w:rPr>
          <w:rFonts w:ascii="Arial" w:hAnsi="Arial" w:cs="Arial"/>
          <w:bCs/>
          <w:rtl/>
        </w:rPr>
      </w:pPr>
      <w:r w:rsidRPr="00BD3C63">
        <w:rPr>
          <w:rFonts w:ascii="Arial" w:hAnsi="Arial" w:cs="Arial" w:hint="cs"/>
          <w:bCs/>
          <w:rtl/>
        </w:rPr>
        <w:t>נימוקים כי הספק הוא ספק יחיד או כי הטובין הם טובי חוץ</w:t>
      </w:r>
    </w:p>
    <w:p w:rsidR="00044418" w:rsidRDefault="00044418" w:rsidP="00044418">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44418" w:rsidRDefault="00044418" w:rsidP="00044418">
      <w:pPr>
        <w:rPr>
          <w:rFonts w:ascii="Arial" w:hAnsi="Arial" w:cs="Arial"/>
          <w:bCs/>
          <w:sz w:val="22"/>
          <w:szCs w:val="22"/>
          <w:rtl/>
        </w:rPr>
      </w:pPr>
    </w:p>
    <w:p w:rsidR="00044418" w:rsidRPr="001F145F" w:rsidRDefault="00044418" w:rsidP="00044418">
      <w:pPr>
        <w:spacing w:line="360" w:lineRule="auto"/>
        <w:rPr>
          <w:rFonts w:ascii="Arial" w:hAnsi="Arial" w:cs="Arial"/>
          <w:bCs/>
          <w:sz w:val="22"/>
          <w:szCs w:val="22"/>
          <w:rtl/>
        </w:rPr>
      </w:pPr>
      <w:r>
        <w:rPr>
          <w:rFonts w:ascii="Arial" w:hAnsi="Arial" w:cs="Arial" w:hint="cs"/>
          <w:bCs/>
          <w:sz w:val="22"/>
          <w:szCs w:val="22"/>
          <w:rtl/>
        </w:rPr>
        <w:t xml:space="preserve"> </w:t>
      </w:r>
    </w:p>
    <w:p w:rsidR="00044418" w:rsidRDefault="00044418" w:rsidP="00044418">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044418" w:rsidRPr="008B0C91" w:rsidTr="005D3AE0">
        <w:tc>
          <w:tcPr>
            <w:tcW w:w="8529" w:type="dxa"/>
            <w:shd w:val="clear" w:color="auto" w:fill="auto"/>
          </w:tcPr>
          <w:p w:rsidR="00044418" w:rsidRPr="00ED1502" w:rsidRDefault="00044418" w:rsidP="005D3AE0">
            <w:pPr>
              <w:spacing w:line="360" w:lineRule="auto"/>
              <w:rPr>
                <w:rFonts w:ascii="Times New Roman" w:hAnsi="Times New Roman"/>
                <w:sz w:val="24"/>
                <w:rtl/>
              </w:rPr>
            </w:pPr>
            <w:r w:rsidRPr="008B0C91">
              <w:rPr>
                <w:rFonts w:ascii="Arial" w:hAnsi="Arial" w:cs="Arial" w:hint="cs"/>
                <w:b/>
                <w:sz w:val="22"/>
                <w:szCs w:val="22"/>
                <w:rtl/>
              </w:rPr>
              <w:t xml:space="preserve"> </w:t>
            </w:r>
            <w:r w:rsidRPr="00ED1502">
              <w:rPr>
                <w:rFonts w:hint="cs"/>
                <w:rtl/>
              </w:rPr>
              <w:t xml:space="preserve">בעקבות אימוץ </w:t>
            </w:r>
            <w:r w:rsidRPr="00ED1502">
              <w:rPr>
                <w:rFonts w:ascii="Times New Roman" w:hAnsi="Times New Roman" w:hint="cs"/>
                <w:sz w:val="24"/>
                <w:rtl/>
              </w:rPr>
              <w:t xml:space="preserve">הדירקטיבה </w:t>
            </w:r>
            <w:r w:rsidRPr="00ED1502">
              <w:rPr>
                <w:rFonts w:ascii="Times New Roman" w:hAnsi="Times New Roman"/>
                <w:sz w:val="24"/>
              </w:rPr>
              <w:t>Solvency II</w:t>
            </w:r>
            <w:r w:rsidRPr="00ED1502">
              <w:rPr>
                <w:rFonts w:ascii="Times New Roman" w:hAnsi="Times New Roman" w:hint="cs"/>
                <w:sz w:val="24"/>
                <w:rtl/>
              </w:rPr>
              <w:t xml:space="preserve"> (להלן </w:t>
            </w:r>
            <w:r w:rsidRPr="00ED1502">
              <w:rPr>
                <w:rFonts w:ascii="Times New Roman" w:hAnsi="Times New Roman"/>
                <w:sz w:val="24"/>
                <w:rtl/>
              </w:rPr>
              <w:t>–</w:t>
            </w:r>
            <w:r w:rsidRPr="00ED1502">
              <w:rPr>
                <w:rFonts w:ascii="Times New Roman" w:hAnsi="Times New Roman" w:hint="cs"/>
                <w:sz w:val="24"/>
                <w:rtl/>
              </w:rPr>
              <w:t xml:space="preserve"> הדירקטיבה) על ידי הפרלמנט האירופי, התקבלה החלטה כי תוך מספר שנים, כללי הדירקטיבה יגובשו ויוטמעו גם בשוק הביטוח בישראל. מטרת הדירקטיבה האירופאית הינה להגן על כספי מחזיקי פוליסות הביטוח, לשפר את ניהול הסיכונים בחברות הביטוח ולהבטיח את יציבות המערכת הפיננסית. </w:t>
            </w:r>
          </w:p>
          <w:p w:rsidR="00044418" w:rsidRPr="00ED1502" w:rsidRDefault="00044418" w:rsidP="005D3AE0">
            <w:pPr>
              <w:spacing w:after="120" w:line="312" w:lineRule="auto"/>
              <w:rPr>
                <w:rFonts w:ascii="Times New Roman" w:hAnsi="Times New Roman"/>
                <w:sz w:val="24"/>
                <w:rtl/>
              </w:rPr>
            </w:pPr>
            <w:r w:rsidRPr="00ED1502">
              <w:rPr>
                <w:rFonts w:ascii="Times New Roman" w:hAnsi="Times New Roman" w:hint="cs"/>
                <w:sz w:val="24"/>
                <w:rtl/>
              </w:rPr>
              <w:t xml:space="preserve">תהליך יישום הדירקטיבה נמצא עדיין בעיצומו באירופה, והוא נתון באי-ודאות ניכרת, עקב מחלוקות פוליטיות. אי-ודאות זו משפיעה גם על יישום הדירקטיבה בישראל, דבר המעלה את חשיבות קבלת עדכונים שוטפים </w:t>
            </w:r>
            <w:r w:rsidRPr="00ED1502">
              <w:rPr>
                <w:rFonts w:ascii="Times New Roman" w:hAnsi="Times New Roman"/>
                <w:sz w:val="24"/>
                <w:rtl/>
              </w:rPr>
              <w:t>–</w:t>
            </w:r>
            <w:r w:rsidRPr="00ED1502">
              <w:rPr>
                <w:rFonts w:ascii="Times New Roman" w:hAnsi="Times New Roman" w:hint="cs"/>
                <w:sz w:val="24"/>
                <w:rtl/>
              </w:rPr>
              <w:t xml:space="preserve"> פורמליים ובלתי פורמליים - על סטטוס היישום של התהליך. </w:t>
            </w:r>
          </w:p>
          <w:p w:rsidR="00044418" w:rsidRPr="00ED1502" w:rsidRDefault="00044418" w:rsidP="005D3AE0">
            <w:pPr>
              <w:spacing w:after="120" w:line="312" w:lineRule="auto"/>
              <w:rPr>
                <w:rFonts w:ascii="Times New Roman" w:hAnsi="Times New Roman"/>
                <w:sz w:val="24"/>
                <w:rtl/>
              </w:rPr>
            </w:pPr>
            <w:r w:rsidRPr="00ED1502">
              <w:rPr>
                <w:rFonts w:ascii="Times New Roman" w:hAnsi="Times New Roman" w:hint="cs"/>
                <w:sz w:val="24"/>
                <w:rtl/>
              </w:rPr>
              <w:t xml:space="preserve">המקורות המרכזיים לעדכונים פורמליים הם אתרי האינטרנט של נציבות האיחוד האירופי, ושל רשויות הפיקוח במדינות המיישמות את הדירקטיבה, כמו גם התכתבויות ומגעים עם נציגים של אותן רשויות. </w:t>
            </w:r>
          </w:p>
          <w:p w:rsidR="00044418" w:rsidRPr="00ED1502" w:rsidRDefault="00044418" w:rsidP="005D3AE0">
            <w:pPr>
              <w:spacing w:after="120" w:line="312" w:lineRule="auto"/>
              <w:rPr>
                <w:rFonts w:ascii="Times New Roman" w:hAnsi="Times New Roman"/>
                <w:sz w:val="24"/>
                <w:rtl/>
              </w:rPr>
            </w:pPr>
            <w:r w:rsidRPr="00ED1502">
              <w:rPr>
                <w:rFonts w:ascii="Times New Roman" w:hAnsi="Times New Roman" w:hint="cs"/>
                <w:sz w:val="24"/>
                <w:rtl/>
              </w:rPr>
              <w:t xml:space="preserve">בנוסף, קיימת חשיבות רבה גם לעדכונים בלתי פורמליים לגבי התפתחויות חדשות ומגמות. כיום, </w:t>
            </w:r>
            <w:r w:rsidRPr="00ED1502">
              <w:rPr>
                <w:rFonts w:ascii="Times New Roman" w:hAnsi="Times New Roman" w:hint="cs"/>
                <w:sz w:val="24"/>
                <w:rtl/>
              </w:rPr>
              <w:lastRenderedPageBreak/>
              <w:t xml:space="preserve">המקור המרכזי למידע שכזה הוא האתר </w:t>
            </w:r>
            <w:r w:rsidRPr="00ED1502">
              <w:rPr>
                <w:rStyle w:val="af1"/>
                <w:rFonts w:ascii="Times New Roman" w:hAnsi="Times New Roman"/>
                <w:sz w:val="24"/>
                <w:rtl/>
              </w:rPr>
              <w:footnoteReference w:id="2"/>
            </w:r>
            <w:r w:rsidRPr="00ED1502">
              <w:rPr>
                <w:rFonts w:ascii="Times New Roman" w:hAnsi="Times New Roman"/>
                <w:sz w:val="24"/>
              </w:rPr>
              <w:t>Insurance ERM</w:t>
            </w:r>
            <w:r w:rsidRPr="00ED1502">
              <w:rPr>
                <w:rFonts w:ascii="Times New Roman" w:hAnsi="Times New Roman" w:hint="cs"/>
                <w:sz w:val="24"/>
                <w:rtl/>
              </w:rPr>
              <w:t>, העוסק במגוון סוגיות הנוגעות לניהול סיכונים בחברות ביטוח, ומקדיש מאמץ ניכר באספקת מידע עדכני לגבי התפתחות תהליך יישום הדירקטיבה. עם זאת, ללא מנוי קבוע, יכולתנו להפיק תועלת מן האתר כמשתמש מזדמן מוגבלת מאד. במסגרת רכישת המנוי, ישלחו מדי יום עדכונים שוטפים למייל האישי של המשתמש הרשום ובכך יהיה ביכולתנו להישאר מעודכנים בכל הנוגע להתפתחויות השוטפות הקשורות לתחום פעולתו של האגף.</w:t>
            </w:r>
          </w:p>
          <w:p w:rsidR="00044418" w:rsidRPr="00ED1502" w:rsidRDefault="00044418" w:rsidP="005D3AE0">
            <w:pPr>
              <w:spacing w:after="120" w:line="312" w:lineRule="auto"/>
              <w:jc w:val="left"/>
              <w:rPr>
                <w:rFonts w:ascii="Times New Roman" w:hAnsi="Times New Roman" w:cs="Arial"/>
                <w:sz w:val="24"/>
                <w:szCs w:val="22"/>
              </w:rPr>
            </w:pPr>
            <w:r w:rsidRPr="00ED1502">
              <w:rPr>
                <w:rFonts w:ascii="Times New Roman" w:hAnsi="Times New Roman" w:hint="cs"/>
                <w:sz w:val="24"/>
                <w:rtl/>
              </w:rPr>
              <w:t xml:space="preserve">לאור האמור לעיל, הרינו לפנות בבקשה לאישור רכישת מנוי לאתר אינטרנט זה, אשר כתובתו: </w:t>
            </w:r>
            <w:hyperlink r:id="rId11" w:history="1">
              <w:r w:rsidRPr="00ED1502">
                <w:rPr>
                  <w:rStyle w:val="Hyperlink"/>
                  <w:rFonts w:ascii="Times New Roman" w:hAnsi="Times New Roman" w:cs="Arial"/>
                  <w:sz w:val="24"/>
                  <w:szCs w:val="22"/>
                </w:rPr>
                <w:t>http://www.insuranceerm.com/</w:t>
              </w:r>
            </w:hyperlink>
          </w:p>
          <w:p w:rsidR="00044418" w:rsidRPr="00134517" w:rsidRDefault="00044418" w:rsidP="005D3AE0">
            <w:pPr>
              <w:spacing w:after="120" w:line="312" w:lineRule="auto"/>
              <w:rPr>
                <w:rFonts w:ascii="Arial" w:hAnsi="Arial" w:cs="Arial"/>
                <w:sz w:val="22"/>
                <w:szCs w:val="22"/>
                <w:rtl/>
              </w:rPr>
            </w:pPr>
            <w:r w:rsidRPr="00ED1502">
              <w:rPr>
                <w:rFonts w:ascii="Times New Roman" w:hAnsi="Times New Roman" w:hint="cs"/>
                <w:sz w:val="24"/>
                <w:rtl/>
              </w:rPr>
              <w:t>להערכתי לא ניתן לקבל את השירות האמור מספקים אחרים. החברה הינה הספק היחיד לשירות בעניין קבלת עדכונים על התפתחויות ומגמות חדשות הנוגעות לתחום ניהול הסיכונים בביטוח בכלל ולדירקטיבה בפרט.</w:t>
            </w:r>
          </w:p>
        </w:tc>
      </w:tr>
    </w:tbl>
    <w:p w:rsidR="00044418" w:rsidRDefault="00044418" w:rsidP="00044418">
      <w:pPr>
        <w:rPr>
          <w:rFonts w:ascii="Arial" w:hAnsi="Arial" w:cs="Arial"/>
          <w:b/>
          <w:sz w:val="22"/>
          <w:szCs w:val="22"/>
          <w:rtl/>
        </w:rPr>
      </w:pPr>
    </w:p>
    <w:p w:rsidR="00044418" w:rsidRDefault="00044418" w:rsidP="00044418">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044418" w:rsidRDefault="00044418" w:rsidP="00044418">
      <w:pPr>
        <w:rPr>
          <w:rFonts w:ascii="Arial" w:hAnsi="Arial" w:cs="Arial"/>
          <w:b/>
          <w:sz w:val="22"/>
          <w:szCs w:val="22"/>
          <w:rtl/>
        </w:rPr>
      </w:pPr>
    </w:p>
    <w:p w:rsidR="00044418" w:rsidRDefault="00044418" w:rsidP="00044418">
      <w:pPr>
        <w:rPr>
          <w:rFonts w:ascii="Arial" w:hAnsi="Arial" w:cs="Arial"/>
          <w:b/>
          <w:sz w:val="22"/>
          <w:szCs w:val="22"/>
          <w:rtl/>
        </w:rPr>
      </w:pPr>
    </w:p>
    <w:p w:rsidR="00044418" w:rsidRDefault="00044418" w:rsidP="0004441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44418" w:rsidRDefault="00044418" w:rsidP="00044418">
      <w:pPr>
        <w:rPr>
          <w:rFonts w:ascii="Arial" w:hAnsi="Arial" w:cs="Arial"/>
          <w:b/>
          <w:sz w:val="22"/>
          <w:szCs w:val="22"/>
          <w:rtl/>
        </w:rPr>
      </w:pPr>
    </w:p>
    <w:p w:rsidR="00044418" w:rsidRDefault="00044418" w:rsidP="00044418">
      <w:pPr>
        <w:rPr>
          <w:rFonts w:ascii="Arial" w:hAnsi="Arial" w:cs="Arial"/>
          <w:b/>
          <w:sz w:val="22"/>
          <w:szCs w:val="22"/>
          <w:rtl/>
        </w:rPr>
      </w:pPr>
      <w:r>
        <w:rPr>
          <w:rFonts w:ascii="Arial" w:hAnsi="Arial" w:cs="Arial" w:hint="cs"/>
          <w:b/>
          <w:sz w:val="22"/>
          <w:szCs w:val="22"/>
          <w:rtl/>
        </w:rPr>
        <w:t xml:space="preserve">בכבוד רב,                                               </w:t>
      </w:r>
    </w:p>
    <w:p w:rsidR="00044418" w:rsidRDefault="00044418" w:rsidP="00044418">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9"/>
        <w:gridCol w:w="3304"/>
        <w:gridCol w:w="2606"/>
      </w:tblGrid>
      <w:tr w:rsidR="00044418" w:rsidRPr="008B0C91" w:rsidTr="005D3AE0">
        <w:tc>
          <w:tcPr>
            <w:tcW w:w="2698" w:type="dxa"/>
            <w:tcBorders>
              <w:bottom w:val="single" w:sz="4" w:space="0" w:color="auto"/>
            </w:tcBorders>
            <w:shd w:val="clear" w:color="auto" w:fill="auto"/>
          </w:tcPr>
          <w:p w:rsidR="00044418" w:rsidRPr="008B0C91" w:rsidRDefault="00044418" w:rsidP="005D3AE0">
            <w:pPr>
              <w:spacing w:line="360" w:lineRule="auto"/>
              <w:rPr>
                <w:rFonts w:ascii="Arial" w:hAnsi="Arial" w:cs="Arial"/>
                <w:b/>
                <w:sz w:val="22"/>
                <w:szCs w:val="22"/>
                <w:rtl/>
              </w:rPr>
            </w:pPr>
            <w:r>
              <w:rPr>
                <w:rFonts w:ascii="Arial" w:hAnsi="Arial" w:cs="Arial" w:hint="cs"/>
                <w:b/>
                <w:sz w:val="22"/>
                <w:szCs w:val="22"/>
                <w:rtl/>
              </w:rPr>
              <w:t>שי בירן</w:t>
            </w:r>
            <w:r w:rsidRPr="008B0C91">
              <w:rPr>
                <w:rFonts w:ascii="Arial" w:hAnsi="Arial" w:cs="Arial" w:hint="cs"/>
                <w:b/>
                <w:sz w:val="22"/>
                <w:szCs w:val="22"/>
                <w:rtl/>
              </w:rPr>
              <w:t xml:space="preserve"> </w:t>
            </w:r>
          </w:p>
        </w:tc>
        <w:tc>
          <w:tcPr>
            <w:tcW w:w="3420" w:type="dxa"/>
            <w:tcBorders>
              <w:bottom w:val="single" w:sz="4" w:space="0" w:color="auto"/>
            </w:tcBorders>
            <w:shd w:val="clear" w:color="auto" w:fill="auto"/>
          </w:tcPr>
          <w:p w:rsidR="00044418" w:rsidRPr="008B0C91" w:rsidRDefault="00044418" w:rsidP="005D3AE0">
            <w:pPr>
              <w:spacing w:line="360" w:lineRule="auto"/>
              <w:rPr>
                <w:rFonts w:ascii="Arial" w:hAnsi="Arial" w:cs="Arial"/>
                <w:b/>
                <w:sz w:val="22"/>
                <w:szCs w:val="22"/>
                <w:rtl/>
              </w:rPr>
            </w:pPr>
            <w:r w:rsidRPr="008B0C91">
              <w:rPr>
                <w:rFonts w:ascii="Arial" w:hAnsi="Arial" w:cs="Arial" w:hint="cs"/>
                <w:b/>
                <w:sz w:val="22"/>
                <w:szCs w:val="22"/>
                <w:rtl/>
              </w:rPr>
              <w:t xml:space="preserve">מנהל </w:t>
            </w:r>
            <w:r>
              <w:rPr>
                <w:rFonts w:ascii="Arial" w:hAnsi="Arial" w:cs="Arial" w:hint="cs"/>
                <w:b/>
                <w:sz w:val="22"/>
                <w:szCs w:val="22"/>
                <w:rtl/>
              </w:rPr>
              <w:t>מחלקת</w:t>
            </w:r>
            <w:r w:rsidRPr="00134517">
              <w:rPr>
                <w:rFonts w:ascii="Arial" w:hAnsi="Arial" w:cs="Arial" w:hint="cs"/>
                <w:bCs/>
                <w:sz w:val="22"/>
                <w:szCs w:val="22"/>
                <w:rtl/>
              </w:rPr>
              <w:t xml:space="preserve"> </w:t>
            </w:r>
            <w:r w:rsidRPr="00134517">
              <w:rPr>
                <w:rFonts w:ascii="Arial" w:hAnsi="Arial" w:cs="Arial"/>
                <w:bCs/>
                <w:sz w:val="22"/>
                <w:szCs w:val="22"/>
              </w:rPr>
              <w:t>Solvency II</w:t>
            </w:r>
            <w:r w:rsidRPr="008B0C91">
              <w:rPr>
                <w:rFonts w:ascii="Arial" w:hAnsi="Arial" w:cs="Arial" w:hint="cs"/>
                <w:b/>
                <w:sz w:val="22"/>
                <w:szCs w:val="22"/>
                <w:rtl/>
              </w:rPr>
              <w:t xml:space="preserve"> </w:t>
            </w:r>
          </w:p>
        </w:tc>
        <w:tc>
          <w:tcPr>
            <w:tcW w:w="2700" w:type="dxa"/>
            <w:tcBorders>
              <w:bottom w:val="single" w:sz="4" w:space="0" w:color="auto"/>
            </w:tcBorders>
            <w:shd w:val="clear" w:color="auto" w:fill="auto"/>
          </w:tcPr>
          <w:p w:rsidR="00044418" w:rsidRPr="008B0C91" w:rsidRDefault="00044418" w:rsidP="005D3AE0">
            <w:pPr>
              <w:spacing w:line="360" w:lineRule="auto"/>
              <w:rPr>
                <w:rFonts w:ascii="Arial" w:hAnsi="Arial" w:cs="Arial"/>
                <w:b/>
                <w:sz w:val="22"/>
                <w:szCs w:val="22"/>
                <w:rtl/>
              </w:rPr>
            </w:pPr>
          </w:p>
        </w:tc>
      </w:tr>
      <w:tr w:rsidR="00044418" w:rsidRPr="008B0C91" w:rsidTr="005D3AE0">
        <w:tc>
          <w:tcPr>
            <w:tcW w:w="2698" w:type="dxa"/>
            <w:tcBorders>
              <w:top w:val="single" w:sz="4" w:space="0" w:color="auto"/>
            </w:tcBorders>
            <w:shd w:val="clear" w:color="auto" w:fill="E6E6E6"/>
          </w:tcPr>
          <w:p w:rsidR="00044418" w:rsidRPr="008B0C91" w:rsidRDefault="00044418" w:rsidP="005D3AE0">
            <w:pPr>
              <w:spacing w:line="360" w:lineRule="auto"/>
              <w:jc w:val="center"/>
              <w:rPr>
                <w:rFonts w:ascii="Arial" w:hAnsi="Arial" w:cs="Arial"/>
                <w:bCs/>
                <w:sz w:val="22"/>
                <w:szCs w:val="22"/>
                <w:rtl/>
              </w:rPr>
            </w:pPr>
            <w:r w:rsidRPr="008B0C9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44418" w:rsidRPr="008B0C91" w:rsidRDefault="00044418" w:rsidP="005D3AE0">
            <w:pPr>
              <w:spacing w:line="360" w:lineRule="auto"/>
              <w:jc w:val="center"/>
              <w:rPr>
                <w:rFonts w:ascii="Arial" w:hAnsi="Arial" w:cs="Arial"/>
                <w:bCs/>
                <w:sz w:val="22"/>
                <w:szCs w:val="22"/>
                <w:rtl/>
              </w:rPr>
            </w:pPr>
            <w:r w:rsidRPr="008B0C9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044418" w:rsidRPr="008B0C91" w:rsidRDefault="00044418" w:rsidP="005D3AE0">
            <w:pPr>
              <w:spacing w:line="360" w:lineRule="auto"/>
              <w:jc w:val="center"/>
              <w:rPr>
                <w:rFonts w:ascii="Arial" w:hAnsi="Arial" w:cs="Arial"/>
                <w:bCs/>
                <w:sz w:val="22"/>
                <w:szCs w:val="22"/>
                <w:rtl/>
              </w:rPr>
            </w:pPr>
            <w:r w:rsidRPr="008B0C91">
              <w:rPr>
                <w:rFonts w:ascii="Arial" w:hAnsi="Arial" w:cs="Arial" w:hint="cs"/>
                <w:bCs/>
                <w:sz w:val="22"/>
                <w:szCs w:val="22"/>
                <w:rtl/>
              </w:rPr>
              <w:t>חתימה</w:t>
            </w:r>
          </w:p>
        </w:tc>
      </w:tr>
    </w:tbl>
    <w:p w:rsidR="00044418" w:rsidRPr="00813E93" w:rsidRDefault="00044418" w:rsidP="00044418">
      <w:pPr>
        <w:rPr>
          <w:rtl/>
        </w:rPr>
      </w:pPr>
    </w:p>
    <w:p w:rsidR="00044418" w:rsidRPr="00813E93" w:rsidRDefault="00044418" w:rsidP="00044418">
      <w:pPr>
        <w:rPr>
          <w:rtl/>
        </w:rPr>
      </w:pPr>
      <w:r>
        <w:rPr>
          <w:rFonts w:hint="cs"/>
          <w:rtl/>
        </w:rPr>
        <w:t xml:space="preserve"> </w:t>
      </w:r>
    </w:p>
    <w:p w:rsidR="00044418" w:rsidRPr="00D12894" w:rsidRDefault="00044418" w:rsidP="00044418">
      <w:pPr>
        <w:pStyle w:val="a8"/>
        <w:rPr>
          <w:sz w:val="28"/>
          <w:szCs w:val="28"/>
        </w:rPr>
      </w:pPr>
      <w:r>
        <w:rPr>
          <w:rFonts w:hint="cs"/>
          <w:sz w:val="28"/>
          <w:szCs w:val="28"/>
          <w:rtl/>
        </w:rPr>
        <w:t xml:space="preserve"> </w:t>
      </w:r>
    </w:p>
    <w:p w:rsidR="00D12894" w:rsidRPr="00044418" w:rsidRDefault="00D12894" w:rsidP="00044418"/>
    <w:sectPr w:rsidR="00D12894" w:rsidRPr="00044418" w:rsidSect="00DB00DF">
      <w:headerReference w:type="even" r:id="rId12"/>
      <w:headerReference w:type="default" r:id="rId13"/>
      <w:footerReference w:type="default" r:id="rId14"/>
      <w:headerReference w:type="first" r:id="rId15"/>
      <w:footerReference w:type="first" r:id="rId16"/>
      <w:pgSz w:w="11907" w:h="16840" w:code="9"/>
      <w:pgMar w:top="1135" w:right="1797" w:bottom="1276" w:left="1797" w:header="720" w:footer="41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7989" w:rsidRDefault="00F77989">
      <w:r>
        <w:separator/>
      </w:r>
    </w:p>
  </w:endnote>
  <w:endnote w:type="continuationSeparator" w:id="0">
    <w:p w:rsidR="00F77989" w:rsidRDefault="00F779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Pr="00672400" w:rsidRDefault="003D24ED" w:rsidP="003D24ED">
    <w:pPr>
      <w:pBdr>
        <w:top w:val="single" w:sz="4" w:space="1" w:color="auto"/>
      </w:pBdr>
      <w:tabs>
        <w:tab w:val="center" w:pos="4059"/>
        <w:tab w:val="right" w:pos="8313"/>
      </w:tabs>
      <w:rPr>
        <w:rStyle w:val="Hyperlink"/>
        <w:rFonts w:cs="Times New Roman"/>
        <w:b/>
        <w:bCs/>
        <w:sz w:val="24"/>
        <w:rtl/>
      </w:rPr>
    </w:pPr>
    <w:r w:rsidRPr="00672400">
      <w:rPr>
        <w:rFonts w:hint="cs"/>
        <w:b/>
        <w:bCs/>
        <w:sz w:val="24"/>
        <w:rtl/>
      </w:rPr>
      <w:t xml:space="preserve">רח' קפלן 1 ירושלים </w:t>
    </w:r>
    <w:r w:rsidRPr="00667A57">
      <w:rPr>
        <w:rFonts w:hint="cs"/>
        <w:b/>
        <w:bCs/>
        <w:sz w:val="24"/>
        <w:rtl/>
      </w:rPr>
      <w:t>31036</w:t>
    </w:r>
    <w:r w:rsidRPr="00672400">
      <w:rPr>
        <w:rFonts w:hint="cs"/>
        <w:b/>
        <w:bCs/>
        <w:sz w:val="24"/>
        <w:rtl/>
      </w:rPr>
      <w:t xml:space="preserve"> ת.ד 3100 טל': 02-5317111 פקס': 02-5695342</w:t>
    </w:r>
    <w:r w:rsidRPr="00672400">
      <w:rPr>
        <w:rFonts w:hint="cs"/>
        <w:b/>
        <w:bCs/>
        <w:sz w:val="24"/>
        <w:rtl/>
      </w:rPr>
      <w:br/>
      <w:t xml:space="preserve">אוצר ברשת : </w:t>
    </w:r>
    <w:hyperlink r:id="rId1" w:history="1">
      <w:r w:rsidRPr="00672400">
        <w:rPr>
          <w:rStyle w:val="Hyperlink"/>
          <w:rFonts w:cs="Times New Roman"/>
          <w:b/>
          <w:bCs/>
          <w:sz w:val="24"/>
        </w:rPr>
        <w:t>www.mof.gov.il</w:t>
      </w:r>
    </w:hyperlink>
    <w:r w:rsidRPr="00672400">
      <w:rPr>
        <w:rFonts w:hint="cs"/>
        <w:b/>
        <w:bCs/>
        <w:sz w:val="24"/>
        <w:rtl/>
      </w:rPr>
      <w:tab/>
    </w:r>
    <w:r>
      <w:rPr>
        <w:b/>
        <w:bCs/>
        <w:noProof/>
        <w:rtl/>
        <w:lang w:eastAsia="en-US"/>
      </w:rPr>
      <w:drawing>
        <wp:inline distT="0" distB="0" distL="0" distR="0" wp14:anchorId="4ED7EB2D" wp14:editId="4C660473">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672400">
      <w:rPr>
        <w:rFonts w:hint="cs"/>
        <w:b/>
        <w:bCs/>
        <w:rtl/>
      </w:rPr>
      <w:tab/>
    </w:r>
    <w:r w:rsidRPr="00672400">
      <w:rPr>
        <w:rFonts w:hint="cs"/>
        <w:b/>
        <w:bCs/>
        <w:sz w:val="24"/>
        <w:rtl/>
      </w:rPr>
      <w:t>שער הממשלה :</w:t>
    </w:r>
    <w:r w:rsidRPr="00672400">
      <w:rPr>
        <w:rStyle w:val="Hyperlink"/>
        <w:rFonts w:cs="Times New Roman"/>
        <w:b/>
        <w:bCs/>
        <w:sz w:val="24"/>
        <w:rtl/>
      </w:rPr>
      <w:t xml:space="preserve"> </w:t>
    </w:r>
    <w:hyperlink r:id="rId3" w:history="1">
      <w:r w:rsidRPr="00672400">
        <w:rPr>
          <w:rStyle w:val="Hyperlink"/>
          <w:rFonts w:cs="Times New Roman"/>
          <w:b/>
          <w:bCs/>
          <w:sz w:val="24"/>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Default="003D24ED" w:rsidP="003D24ED">
    <w:pPr>
      <w:pStyle w:val="aa"/>
      <w:pBdr>
        <w:top w:val="single" w:sz="6" w:space="1" w:color="auto"/>
      </w:pBdr>
      <w:tabs>
        <w:tab w:val="clear" w:pos="8640"/>
        <w:tab w:val="right" w:pos="8313"/>
      </w:tabs>
      <w:spacing w:line="240" w:lineRule="auto"/>
    </w:pPr>
    <w:r>
      <w:rPr>
        <w:rFonts w:hint="cs"/>
        <w:sz w:val="24"/>
        <w:rtl/>
      </w:rPr>
      <w:t>רח' קפלן 1 ירושלים 31036 ת.ד 3100 טל': 02-5317111 פקס': 02-5695342</w:t>
    </w:r>
    <w:r>
      <w:rPr>
        <w:sz w:val="24"/>
        <w:rtl/>
      </w:rPr>
      <w:br/>
      <w:t xml:space="preserve">אוצר ברשת : </w:t>
    </w:r>
    <w:r w:rsidRPr="00C9799A">
      <w:rPr>
        <w:sz w:val="24"/>
        <w:u w:val="single"/>
      </w:rPr>
      <w:t>www.mof.gov.il</w:t>
    </w:r>
    <w:r>
      <w:rPr>
        <w:rFonts w:hint="cs"/>
        <w:sz w:val="24"/>
        <w:rtl/>
      </w:rPr>
      <w:tab/>
    </w:r>
    <w:r>
      <w:rPr>
        <w:rFonts w:hint="cs"/>
        <w:noProof/>
        <w:sz w:val="24"/>
        <w:rtl/>
        <w:lang w:eastAsia="en-US"/>
      </w:rPr>
      <w:drawing>
        <wp:inline distT="0" distB="0" distL="0" distR="0" wp14:anchorId="00C58739" wp14:editId="34E14836">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sz w:val="24"/>
        <w:rtl/>
      </w:rPr>
      <w:tab/>
      <w:t xml:space="preserve">שער הממשלה : </w:t>
    </w:r>
    <w:r w:rsidRPr="00C9799A">
      <w:rPr>
        <w:sz w:val="24"/>
        <w:u w:val="single"/>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7989" w:rsidRDefault="00F77989">
      <w:r>
        <w:separator/>
      </w:r>
    </w:p>
  </w:footnote>
  <w:footnote w:type="continuationSeparator" w:id="0">
    <w:p w:rsidR="00F77989" w:rsidRDefault="00F77989">
      <w:r>
        <w:continuationSeparator/>
      </w:r>
    </w:p>
  </w:footnote>
  <w:footnote w:id="1">
    <w:p w:rsidR="00044418" w:rsidRPr="009D4922" w:rsidRDefault="00044418" w:rsidP="00044418">
      <w:pPr>
        <w:pStyle w:val="af"/>
        <w:bidi w:val="0"/>
        <w:rPr>
          <w:rFonts w:asciiTheme="majorBidi" w:hAnsiTheme="majorBidi" w:cstheme="majorBidi"/>
          <w:sz w:val="22"/>
          <w:szCs w:val="22"/>
        </w:rPr>
      </w:pPr>
      <w:r w:rsidRPr="009D4922">
        <w:rPr>
          <w:rStyle w:val="af1"/>
          <w:rFonts w:asciiTheme="majorBidi" w:hAnsiTheme="majorBidi" w:cstheme="majorBidi"/>
          <w:sz w:val="22"/>
          <w:szCs w:val="22"/>
        </w:rPr>
        <w:footnoteRef/>
      </w:r>
      <w:r w:rsidRPr="009D4922">
        <w:rPr>
          <w:rFonts w:asciiTheme="majorBidi" w:hAnsiTheme="majorBidi" w:cstheme="majorBidi"/>
          <w:sz w:val="22"/>
          <w:szCs w:val="22"/>
          <w:rtl/>
        </w:rPr>
        <w:t xml:space="preserve"> </w:t>
      </w:r>
      <w:r w:rsidRPr="009D4922">
        <w:rPr>
          <w:rFonts w:asciiTheme="majorBidi" w:hAnsiTheme="majorBidi" w:cstheme="majorBidi"/>
          <w:sz w:val="22"/>
          <w:szCs w:val="22"/>
        </w:rPr>
        <w:t>Enterprise Risk Management</w:t>
      </w:r>
    </w:p>
  </w:footnote>
  <w:footnote w:id="2">
    <w:p w:rsidR="00044418" w:rsidRDefault="00044418" w:rsidP="00044418">
      <w:pPr>
        <w:pStyle w:val="af"/>
        <w:bidi w:val="0"/>
      </w:pPr>
      <w:r>
        <w:rPr>
          <w:rStyle w:val="af1"/>
        </w:rPr>
        <w:footnoteRef/>
      </w:r>
      <w:r>
        <w:rPr>
          <w:rtl/>
        </w:rPr>
        <w:t xml:space="preserve"> </w:t>
      </w:r>
      <w:r w:rsidRPr="00134517">
        <w:rPr>
          <w:rFonts w:ascii="Arial" w:hAnsi="Arial" w:cs="Arial"/>
          <w:sz w:val="18"/>
          <w:szCs w:val="18"/>
        </w:rPr>
        <w:t>Enterprise Risk Management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Default="003D24ED">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3D24ED" w:rsidRDefault="003D24ED">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6233379"/>
      <w:docPartObj>
        <w:docPartGallery w:val="Page Numbers (Top of Page)"/>
        <w:docPartUnique/>
      </w:docPartObj>
    </w:sdtPr>
    <w:sdtEndPr>
      <w:rPr>
        <w:cs/>
      </w:rPr>
    </w:sdtEndPr>
    <w:sdtContent>
      <w:p w:rsidR="003D24ED" w:rsidRDefault="003D24ED">
        <w:pPr>
          <w:pStyle w:val="a8"/>
          <w:jc w:val="center"/>
          <w:rPr>
            <w:rtl/>
            <w:cs/>
          </w:rPr>
        </w:pPr>
        <w:r>
          <w:fldChar w:fldCharType="begin"/>
        </w:r>
        <w:r>
          <w:rPr>
            <w:rtl/>
            <w:cs/>
          </w:rPr>
          <w:instrText>PAGE   \* MERGEFORMAT</w:instrText>
        </w:r>
        <w:r>
          <w:fldChar w:fldCharType="separate"/>
        </w:r>
        <w:r w:rsidR="00471CD1" w:rsidRPr="00471CD1">
          <w:rPr>
            <w:noProof/>
            <w:rtl/>
            <w:lang w:val="he-IL"/>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Default="003D24ED" w:rsidP="003D24ED">
    <w:pPr>
      <w:pStyle w:val="a8"/>
      <w:jc w:val="center"/>
      <w:rPr>
        <w:b w:val="0"/>
        <w:bCs w:val="0"/>
        <w:szCs w:val="40"/>
        <w:rtl/>
      </w:rPr>
    </w:pPr>
    <w:r>
      <w:rPr>
        <w:b w:val="0"/>
        <w:bCs w:val="0"/>
        <w:szCs w:val="40"/>
        <w:rtl/>
      </w:rPr>
      <w:t>מדינת ישראל</w:t>
    </w:r>
  </w:p>
  <w:p w:rsidR="003D24ED" w:rsidRDefault="003D24ED" w:rsidP="003D24ED">
    <w:pPr>
      <w:pStyle w:val="a8"/>
      <w:jc w:val="center"/>
      <w:rPr>
        <w:b w:val="0"/>
        <w:bCs w:val="0"/>
        <w:szCs w:val="32"/>
        <w:rtl/>
      </w:rPr>
    </w:pPr>
    <w:r>
      <w:rPr>
        <w:b w:val="0"/>
        <w:bCs w:val="0"/>
        <w:szCs w:val="32"/>
        <w:rtl/>
      </w:rPr>
      <w:t>משרד האוצר - אגף שוק ההון, ביטוח וח</w:t>
    </w:r>
    <w:r>
      <w:rPr>
        <w:rFonts w:hint="cs"/>
        <w:b w:val="0"/>
        <w:bCs w:val="0"/>
        <w:szCs w:val="32"/>
        <w:rtl/>
      </w:rPr>
      <w:t>י</w:t>
    </w:r>
    <w:r>
      <w:rPr>
        <w:b w:val="0"/>
        <w:bCs w:val="0"/>
        <w:szCs w:val="32"/>
        <w:rtl/>
      </w:rPr>
      <w:t>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A7F15AD"/>
    <w:multiLevelType w:val="hybridMultilevel"/>
    <w:tmpl w:val="4550952C"/>
    <w:lvl w:ilvl="0" w:tplc="798440F4">
      <w:start w:val="1"/>
      <w:numFmt w:val="decimal"/>
      <w:lvlText w:val="%1."/>
      <w:lvlJc w:val="left"/>
      <w:pPr>
        <w:ind w:left="1017" w:hanging="360"/>
      </w:pPr>
      <w:rPr>
        <w:rFonts w:hint="default"/>
        <w:sz w:val="26"/>
      </w:rPr>
    </w:lvl>
    <w:lvl w:ilvl="1" w:tplc="04090019" w:tentative="1">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64B"/>
    <w:rsid w:val="00014182"/>
    <w:rsid w:val="00034001"/>
    <w:rsid w:val="00044418"/>
    <w:rsid w:val="00047C97"/>
    <w:rsid w:val="000520B7"/>
    <w:rsid w:val="000568CE"/>
    <w:rsid w:val="00066383"/>
    <w:rsid w:val="00093B9D"/>
    <w:rsid w:val="000C04AE"/>
    <w:rsid w:val="000E6098"/>
    <w:rsid w:val="000E632C"/>
    <w:rsid w:val="0010326C"/>
    <w:rsid w:val="00111925"/>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D24ED"/>
    <w:rsid w:val="003F1396"/>
    <w:rsid w:val="0040055E"/>
    <w:rsid w:val="00402FF5"/>
    <w:rsid w:val="00407F2B"/>
    <w:rsid w:val="004125FE"/>
    <w:rsid w:val="00423D6A"/>
    <w:rsid w:val="00426E0E"/>
    <w:rsid w:val="004323EF"/>
    <w:rsid w:val="004410DE"/>
    <w:rsid w:val="0044663B"/>
    <w:rsid w:val="00451F2E"/>
    <w:rsid w:val="004523EB"/>
    <w:rsid w:val="00452D7A"/>
    <w:rsid w:val="00471CD1"/>
    <w:rsid w:val="004B4AEE"/>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114"/>
    <w:rsid w:val="0066664E"/>
    <w:rsid w:val="00692C69"/>
    <w:rsid w:val="006952CA"/>
    <w:rsid w:val="006A13C9"/>
    <w:rsid w:val="006A2503"/>
    <w:rsid w:val="006A5446"/>
    <w:rsid w:val="006A63B7"/>
    <w:rsid w:val="006B352E"/>
    <w:rsid w:val="006C55AF"/>
    <w:rsid w:val="006D0744"/>
    <w:rsid w:val="006D675E"/>
    <w:rsid w:val="006D686D"/>
    <w:rsid w:val="006E1DF0"/>
    <w:rsid w:val="006E5942"/>
    <w:rsid w:val="00706164"/>
    <w:rsid w:val="00735D55"/>
    <w:rsid w:val="00743847"/>
    <w:rsid w:val="00751B50"/>
    <w:rsid w:val="00757313"/>
    <w:rsid w:val="00757879"/>
    <w:rsid w:val="007611DA"/>
    <w:rsid w:val="007725B1"/>
    <w:rsid w:val="00793E5C"/>
    <w:rsid w:val="007A373A"/>
    <w:rsid w:val="007B7D12"/>
    <w:rsid w:val="007D4118"/>
    <w:rsid w:val="007E2692"/>
    <w:rsid w:val="0080160A"/>
    <w:rsid w:val="0082739B"/>
    <w:rsid w:val="00864DB3"/>
    <w:rsid w:val="00867AE5"/>
    <w:rsid w:val="00870D8A"/>
    <w:rsid w:val="008B39D7"/>
    <w:rsid w:val="008E77BE"/>
    <w:rsid w:val="00910BC9"/>
    <w:rsid w:val="00915C9A"/>
    <w:rsid w:val="00935E81"/>
    <w:rsid w:val="00982259"/>
    <w:rsid w:val="00986444"/>
    <w:rsid w:val="00990A24"/>
    <w:rsid w:val="009B64FE"/>
    <w:rsid w:val="009D4922"/>
    <w:rsid w:val="009E52B5"/>
    <w:rsid w:val="009F2C30"/>
    <w:rsid w:val="009F7F7A"/>
    <w:rsid w:val="00A15876"/>
    <w:rsid w:val="00A15D5D"/>
    <w:rsid w:val="00A30921"/>
    <w:rsid w:val="00A5751E"/>
    <w:rsid w:val="00A67A4F"/>
    <w:rsid w:val="00A7396A"/>
    <w:rsid w:val="00A73972"/>
    <w:rsid w:val="00A84333"/>
    <w:rsid w:val="00A84658"/>
    <w:rsid w:val="00A84736"/>
    <w:rsid w:val="00AA4752"/>
    <w:rsid w:val="00AD0167"/>
    <w:rsid w:val="00AF1C47"/>
    <w:rsid w:val="00B03E2B"/>
    <w:rsid w:val="00B041F7"/>
    <w:rsid w:val="00B311D4"/>
    <w:rsid w:val="00B429D7"/>
    <w:rsid w:val="00B60EE6"/>
    <w:rsid w:val="00B67385"/>
    <w:rsid w:val="00B93390"/>
    <w:rsid w:val="00B93A25"/>
    <w:rsid w:val="00BB393A"/>
    <w:rsid w:val="00BC32AE"/>
    <w:rsid w:val="00BD67E7"/>
    <w:rsid w:val="00C01906"/>
    <w:rsid w:val="00C171DC"/>
    <w:rsid w:val="00C27AC8"/>
    <w:rsid w:val="00C3464B"/>
    <w:rsid w:val="00C37F33"/>
    <w:rsid w:val="00C466FE"/>
    <w:rsid w:val="00C84ABA"/>
    <w:rsid w:val="00CA61AF"/>
    <w:rsid w:val="00CB40A4"/>
    <w:rsid w:val="00CC356E"/>
    <w:rsid w:val="00CD6DB8"/>
    <w:rsid w:val="00CE0517"/>
    <w:rsid w:val="00CF44BB"/>
    <w:rsid w:val="00D12894"/>
    <w:rsid w:val="00D33979"/>
    <w:rsid w:val="00D66453"/>
    <w:rsid w:val="00D731DA"/>
    <w:rsid w:val="00D943A2"/>
    <w:rsid w:val="00D969C1"/>
    <w:rsid w:val="00DB00DF"/>
    <w:rsid w:val="00DD5320"/>
    <w:rsid w:val="00DE069A"/>
    <w:rsid w:val="00DE7CC8"/>
    <w:rsid w:val="00DF73FF"/>
    <w:rsid w:val="00E41B31"/>
    <w:rsid w:val="00E56588"/>
    <w:rsid w:val="00E75E56"/>
    <w:rsid w:val="00E95EEF"/>
    <w:rsid w:val="00EA6729"/>
    <w:rsid w:val="00EC303E"/>
    <w:rsid w:val="00ED1502"/>
    <w:rsid w:val="00EF71D7"/>
    <w:rsid w:val="00F00D41"/>
    <w:rsid w:val="00F0592A"/>
    <w:rsid w:val="00F25ABF"/>
    <w:rsid w:val="00F26580"/>
    <w:rsid w:val="00F509E4"/>
    <w:rsid w:val="00F74EF7"/>
    <w:rsid w:val="00F77989"/>
    <w:rsid w:val="00F80DA7"/>
    <w:rsid w:val="00F975CB"/>
    <w:rsid w:val="00FB4B8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 w:type="paragraph" w:styleId="af">
    <w:name w:val="footnote text"/>
    <w:basedOn w:val="a"/>
    <w:link w:val="af0"/>
    <w:uiPriority w:val="99"/>
    <w:unhideWhenUsed/>
    <w:rsid w:val="00D12894"/>
    <w:rPr>
      <w:sz w:val="20"/>
      <w:szCs w:val="20"/>
    </w:rPr>
  </w:style>
  <w:style w:type="character" w:customStyle="1" w:styleId="af0">
    <w:name w:val="טקסט הערת שוליים תו"/>
    <w:basedOn w:val="a0"/>
    <w:link w:val="af"/>
    <w:uiPriority w:val="99"/>
    <w:rsid w:val="00D12894"/>
    <w:rPr>
      <w:rFonts w:ascii="Arial Narrow" w:eastAsia="Times New Roman" w:hAnsi="Arial Narrow" w:cs="David"/>
      <w:sz w:val="20"/>
      <w:szCs w:val="20"/>
      <w:lang w:eastAsia="he-IL"/>
    </w:rPr>
  </w:style>
  <w:style w:type="character" w:styleId="af1">
    <w:name w:val="footnote reference"/>
    <w:uiPriority w:val="99"/>
    <w:unhideWhenUsed/>
    <w:rsid w:val="00D1289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 w:type="paragraph" w:styleId="af">
    <w:name w:val="footnote text"/>
    <w:basedOn w:val="a"/>
    <w:link w:val="af0"/>
    <w:uiPriority w:val="99"/>
    <w:unhideWhenUsed/>
    <w:rsid w:val="00D12894"/>
    <w:rPr>
      <w:sz w:val="20"/>
      <w:szCs w:val="20"/>
    </w:rPr>
  </w:style>
  <w:style w:type="character" w:customStyle="1" w:styleId="af0">
    <w:name w:val="טקסט הערת שוליים תו"/>
    <w:basedOn w:val="a0"/>
    <w:link w:val="af"/>
    <w:uiPriority w:val="99"/>
    <w:rsid w:val="00D12894"/>
    <w:rPr>
      <w:rFonts w:ascii="Arial Narrow" w:eastAsia="Times New Roman" w:hAnsi="Arial Narrow" w:cs="David"/>
      <w:sz w:val="20"/>
      <w:szCs w:val="20"/>
      <w:lang w:eastAsia="he-IL"/>
    </w:rPr>
  </w:style>
  <w:style w:type="character" w:styleId="af1">
    <w:name w:val="footnote reference"/>
    <w:uiPriority w:val="99"/>
    <w:unhideWhenUsed/>
    <w:rsid w:val="00D1289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nsuranceerm.com/"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SHAY@CUSTOMS.MOF.GOV.IL" TargetMode="External"/><Relationship Id="rId4" Type="http://schemas.microsoft.com/office/2007/relationships/stylesWithEffects" Target="stylesWithEffects.xml"/><Relationship Id="rId9" Type="http://schemas.openxmlformats.org/officeDocument/2006/relationships/hyperlink" Target="http://www.insuranceerm.com/"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0427B6-5AD6-457E-8CBE-EC58D0CB8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781</Words>
  <Characters>3905</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אודליה אילוז-לוי</cp:lastModifiedBy>
  <cp:revision>2</cp:revision>
  <dcterms:created xsi:type="dcterms:W3CDTF">2012-05-21T05:44:00Z</dcterms:created>
  <dcterms:modified xsi:type="dcterms:W3CDTF">2012-05-21T05:44:00Z</dcterms:modified>
</cp:coreProperties>
</file>